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DF" w:rsidRDefault="00C65524" w:rsidP="00637964">
      <w:pPr>
        <w:bidi w:val="0"/>
        <w:spacing w:line="264" w:lineRule="auto"/>
        <w:ind w:right="-14"/>
        <w:jc w:val="both"/>
        <w:rPr>
          <w:rFonts w:ascii="Univers" w:hAnsi="Univers"/>
          <w:noProof/>
          <w:szCs w:val="20"/>
          <w:lang w:eastAsia="en-US"/>
        </w:rPr>
      </w:pPr>
      <w:r>
        <w:rPr>
          <w:rFonts w:ascii="Univers" w:hAnsi="Univers"/>
          <w:noProof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6.25pt;margin-top:-4.5pt;width:522pt;height:55.5pt;z-index:251657728" filled="f" stroked="f" strokecolor="silver">
            <v:textbox style="mso-next-textbox:#_x0000_s1029">
              <w:txbxContent>
                <w:p w:rsidR="00CB535A" w:rsidRPr="00052E7F" w:rsidRDefault="00CB535A" w:rsidP="00CB535A">
                  <w:pPr>
                    <w:jc w:val="center"/>
                    <w:rPr>
                      <w:szCs w:val="40"/>
                    </w:rPr>
                  </w:pPr>
                  <w:r w:rsidRPr="00052E7F">
                    <w:rPr>
                      <w:rFonts w:ascii="Univers" w:hAnsi="Univers"/>
                      <w:b/>
                      <w:bCs/>
                      <w:color w:val="000080"/>
                      <w:sz w:val="40"/>
                      <w:szCs w:val="40"/>
                    </w:rPr>
                    <w:t xml:space="preserve">UAE </w:t>
                  </w:r>
                  <w:r>
                    <w:rPr>
                      <w:rFonts w:ascii="Univers" w:hAnsi="Univers"/>
                      <w:b/>
                      <w:bCs/>
                      <w:color w:val="000080"/>
                      <w:sz w:val="40"/>
                      <w:szCs w:val="40"/>
                    </w:rPr>
                    <w:t>growth to slow as oil output levels off…</w:t>
                  </w:r>
                  <w:r w:rsidRPr="00AA5768">
                    <w:rPr>
                      <w:rFonts w:ascii="Univers" w:hAnsi="Univers"/>
                      <w:b/>
                      <w:bCs/>
                      <w:color w:val="000080"/>
                      <w:sz w:val="40"/>
                      <w:szCs w:val="40"/>
                    </w:rPr>
                    <w:t>non-oil growth seen steady, but below trend</w:t>
                  </w:r>
                </w:p>
              </w:txbxContent>
            </v:textbox>
            <w10:wrap type="square" anchorx="page"/>
          </v:shape>
        </w:pict>
      </w:r>
    </w:p>
    <w:p w:rsidR="00ED5605" w:rsidRPr="00ED5605" w:rsidRDefault="003E573F" w:rsidP="00ED5605">
      <w:pPr>
        <w:bidi w:val="0"/>
        <w:spacing w:line="264" w:lineRule="auto"/>
        <w:jc w:val="both"/>
        <w:rPr>
          <w:rFonts w:ascii="Univers" w:hAnsi="Univers"/>
          <w:szCs w:val="20"/>
        </w:rPr>
      </w:pPr>
      <w:r>
        <w:rPr>
          <w:rFonts w:ascii="Univers" w:hAnsi="Univers"/>
          <w:b/>
          <w:szCs w:val="20"/>
          <w:u w:val="single"/>
        </w:rPr>
        <w:t xml:space="preserve">In </w:t>
      </w:r>
      <w:r w:rsidR="00321334" w:rsidRPr="00321334">
        <w:rPr>
          <w:rFonts w:ascii="Univers" w:hAnsi="Univers"/>
          <w:b/>
          <w:szCs w:val="20"/>
          <w:u w:val="single"/>
        </w:rPr>
        <w:t>NBK</w:t>
      </w:r>
      <w:r w:rsidR="00E65197">
        <w:rPr>
          <w:rFonts w:ascii="Univers" w:hAnsi="Univers"/>
          <w:b/>
          <w:szCs w:val="20"/>
          <w:u w:val="single"/>
        </w:rPr>
        <w:t>’s</w:t>
      </w:r>
      <w:r w:rsidR="00321334" w:rsidRPr="00321334">
        <w:rPr>
          <w:rFonts w:ascii="Univers" w:hAnsi="Univers"/>
          <w:b/>
          <w:szCs w:val="20"/>
          <w:u w:val="single"/>
        </w:rPr>
        <w:t xml:space="preserve"> latest </w:t>
      </w:r>
      <w:r w:rsidR="00E65197">
        <w:rPr>
          <w:rFonts w:ascii="Univers" w:hAnsi="Univers"/>
          <w:b/>
          <w:szCs w:val="20"/>
          <w:u w:val="single"/>
        </w:rPr>
        <w:t>GCC Brief</w:t>
      </w:r>
      <w:r w:rsidR="00321334">
        <w:rPr>
          <w:rFonts w:ascii="Univers" w:hAnsi="Univers"/>
          <w:szCs w:val="20"/>
        </w:rPr>
        <w:t xml:space="preserve">: </w:t>
      </w:r>
    </w:p>
    <w:p w:rsidR="00271C7F" w:rsidRPr="00623EA4" w:rsidRDefault="00271C7F" w:rsidP="0012314C">
      <w:pPr>
        <w:bidi w:val="0"/>
        <w:spacing w:line="264" w:lineRule="auto"/>
        <w:jc w:val="both"/>
        <w:rPr>
          <w:rFonts w:ascii="Univers" w:hAnsi="Univers"/>
          <w:i/>
          <w:iCs/>
          <w:sz w:val="16"/>
        </w:rPr>
      </w:pPr>
      <w:r>
        <w:rPr>
          <w:rFonts w:ascii="Univers" w:hAnsi="Univers"/>
          <w:szCs w:val="20"/>
          <w:lang w:eastAsia="en-US"/>
        </w:rPr>
        <w:t>Economic activity measures – notably the private sector Purchasing Managers’ Index – eased back in 2H 2011, likely reflecting a mixture of seasonal factors and a deteriorating international environment. Meanwhile, credit growth remains stubbornly weak, concerns linger over the refinancing of Dubai Inc. debt and large corporat</w:t>
      </w:r>
      <w:r w:rsidR="0012314C">
        <w:rPr>
          <w:rFonts w:ascii="Univers" w:hAnsi="Univers"/>
          <w:szCs w:val="20"/>
          <w:lang w:eastAsia="en-US"/>
        </w:rPr>
        <w:t>ions</w:t>
      </w:r>
      <w:r>
        <w:rPr>
          <w:rFonts w:ascii="Univers" w:hAnsi="Univers"/>
          <w:szCs w:val="20"/>
          <w:lang w:eastAsia="en-US"/>
        </w:rPr>
        <w:t xml:space="preserve"> are still in consolidation mode. Unlike in other GCC states, government spending is also being rationalized. In aggregate, budgeted spending of the Dubai and Federal governments will fall by 1% in 2012, while project spending in Abu Dhabi is being reined-in to reflect the more sober business climate. </w:t>
      </w:r>
    </w:p>
    <w:p w:rsidR="00AA039B" w:rsidRDefault="00AA039B" w:rsidP="00AA039B">
      <w:pPr>
        <w:bidi w:val="0"/>
        <w:spacing w:line="264" w:lineRule="auto"/>
        <w:jc w:val="both"/>
        <w:rPr>
          <w:rFonts w:ascii="Univers" w:hAnsi="Univers"/>
          <w:szCs w:val="20"/>
        </w:rPr>
      </w:pPr>
    </w:p>
    <w:tbl>
      <w:tblPr>
        <w:tblW w:w="0" w:type="auto"/>
        <w:tblInd w:w="108" w:type="dxa"/>
        <w:tblLook w:val="04A0"/>
      </w:tblPr>
      <w:tblGrid>
        <w:gridCol w:w="1638"/>
        <w:gridCol w:w="810"/>
        <w:gridCol w:w="1260"/>
        <w:gridCol w:w="1152"/>
      </w:tblGrid>
      <w:tr w:rsidR="00A17443" w:rsidRPr="00D16CA7" w:rsidTr="00977395">
        <w:trPr>
          <w:trHeight w:val="216"/>
        </w:trPr>
        <w:tc>
          <w:tcPr>
            <w:tcW w:w="2448" w:type="dxa"/>
            <w:gridSpan w:val="2"/>
            <w:shd w:val="clear" w:color="auto" w:fill="00009B"/>
            <w:vAlign w:val="center"/>
          </w:tcPr>
          <w:p w:rsidR="00A17443" w:rsidRPr="00D16CA7" w:rsidRDefault="00AA039B" w:rsidP="00977395">
            <w:pPr>
              <w:bidi w:val="0"/>
              <w:rPr>
                <w:rFonts w:ascii="Univers" w:hAnsi="Univers"/>
                <w:b/>
                <w:bCs/>
                <w:color w:val="FFFFFF"/>
                <w:sz w:val="16"/>
                <w:szCs w:val="20"/>
                <w:lang w:val="en-GB"/>
              </w:rPr>
            </w:pPr>
            <w:r>
              <w:rPr>
                <w:rFonts w:ascii="Univers" w:hAnsi="Univers"/>
                <w:b/>
                <w:bCs/>
                <w:color w:val="FFFFFF"/>
                <w:sz w:val="16"/>
                <w:szCs w:val="20"/>
                <w:lang w:val="en-GB"/>
              </w:rPr>
              <w:t>UAE</w:t>
            </w:r>
            <w:r w:rsidR="00A17443" w:rsidRPr="00D16CA7">
              <w:rPr>
                <w:rFonts w:ascii="Univers" w:hAnsi="Univers"/>
                <w:b/>
                <w:bCs/>
                <w:color w:val="FFFFFF"/>
                <w:sz w:val="16"/>
                <w:szCs w:val="20"/>
                <w:lang w:val="en-GB"/>
              </w:rPr>
              <w:t xml:space="preserve"> forecast summary:</w:t>
            </w:r>
          </w:p>
        </w:tc>
        <w:tc>
          <w:tcPr>
            <w:tcW w:w="1260" w:type="dxa"/>
            <w:shd w:val="clear" w:color="auto" w:fill="00009B"/>
            <w:vAlign w:val="center"/>
          </w:tcPr>
          <w:p w:rsidR="00A17443" w:rsidRPr="00D16CA7" w:rsidRDefault="00A17443" w:rsidP="00977395">
            <w:pPr>
              <w:bidi w:val="0"/>
              <w:jc w:val="center"/>
              <w:rPr>
                <w:rFonts w:ascii="Univers" w:hAnsi="Univers"/>
                <w:b/>
                <w:bCs/>
                <w:color w:val="FFFFFF"/>
                <w:sz w:val="16"/>
                <w:szCs w:val="20"/>
                <w:lang w:val="en-GB"/>
              </w:rPr>
            </w:pPr>
          </w:p>
        </w:tc>
        <w:tc>
          <w:tcPr>
            <w:tcW w:w="1152" w:type="dxa"/>
            <w:shd w:val="clear" w:color="auto" w:fill="00009B"/>
            <w:vAlign w:val="center"/>
          </w:tcPr>
          <w:p w:rsidR="00A17443" w:rsidRPr="00D16CA7" w:rsidRDefault="00A17443" w:rsidP="00977395">
            <w:pPr>
              <w:bidi w:val="0"/>
              <w:jc w:val="center"/>
              <w:rPr>
                <w:rFonts w:ascii="Univers" w:hAnsi="Univers"/>
                <w:b/>
                <w:bCs/>
                <w:color w:val="FFFFFF"/>
                <w:sz w:val="16"/>
                <w:szCs w:val="20"/>
                <w:lang w:val="en-GB"/>
              </w:rPr>
            </w:pPr>
          </w:p>
        </w:tc>
      </w:tr>
      <w:tr w:rsidR="00A17443" w:rsidRPr="00D16CA7" w:rsidTr="00977395">
        <w:trPr>
          <w:trHeight w:val="216"/>
        </w:trPr>
        <w:tc>
          <w:tcPr>
            <w:tcW w:w="1638" w:type="dxa"/>
            <w:shd w:val="clear" w:color="auto" w:fill="E6E6E6"/>
            <w:vAlign w:val="center"/>
          </w:tcPr>
          <w:p w:rsidR="00A17443" w:rsidRPr="00D16CA7" w:rsidRDefault="00A17443" w:rsidP="00977395">
            <w:pPr>
              <w:bidi w:val="0"/>
              <w:rPr>
                <w:rFonts w:ascii="Univers" w:hAnsi="Univers"/>
                <w:sz w:val="16"/>
                <w:szCs w:val="20"/>
                <w:lang w:val="en-GB"/>
              </w:rPr>
            </w:pPr>
          </w:p>
        </w:tc>
        <w:tc>
          <w:tcPr>
            <w:tcW w:w="810" w:type="dxa"/>
            <w:shd w:val="clear" w:color="auto" w:fill="E6E6E6"/>
            <w:vAlign w:val="center"/>
          </w:tcPr>
          <w:p w:rsidR="00A17443" w:rsidRPr="00D16CA7" w:rsidRDefault="00A17443" w:rsidP="00977395">
            <w:pPr>
              <w:bidi w:val="0"/>
              <w:jc w:val="center"/>
              <w:rPr>
                <w:rFonts w:ascii="Univers" w:hAnsi="Univers"/>
                <w:sz w:val="16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17443" w:rsidRPr="00D16CA7" w:rsidRDefault="00A17443" w:rsidP="004C25BC">
            <w:pPr>
              <w:bidi w:val="0"/>
              <w:jc w:val="center"/>
              <w:rPr>
                <w:rFonts w:ascii="Univers" w:hAnsi="Univers"/>
                <w:sz w:val="16"/>
                <w:szCs w:val="20"/>
                <w:lang w:val="en-GB"/>
              </w:rPr>
            </w:pPr>
            <w:r>
              <w:rPr>
                <w:rFonts w:ascii="Univers" w:hAnsi="Univers"/>
                <w:sz w:val="16"/>
                <w:szCs w:val="20"/>
                <w:lang w:val="en-GB"/>
              </w:rPr>
              <w:t>2011</w:t>
            </w:r>
            <w:r w:rsidR="004C25BC">
              <w:rPr>
                <w:rFonts w:ascii="Univers" w:hAnsi="Univers"/>
                <w:sz w:val="16"/>
                <w:szCs w:val="20"/>
                <w:lang w:val="en-GB"/>
              </w:rPr>
              <w:t>e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17443" w:rsidRPr="00D16CA7" w:rsidRDefault="00A17443" w:rsidP="00977395">
            <w:pPr>
              <w:bidi w:val="0"/>
              <w:jc w:val="center"/>
              <w:rPr>
                <w:rFonts w:ascii="Univers" w:hAnsi="Univers"/>
                <w:sz w:val="16"/>
                <w:szCs w:val="20"/>
                <w:lang w:val="en-GB"/>
              </w:rPr>
            </w:pPr>
            <w:r w:rsidRPr="00D16CA7">
              <w:rPr>
                <w:rFonts w:ascii="Univers" w:hAnsi="Univers"/>
                <w:sz w:val="16"/>
                <w:szCs w:val="20"/>
                <w:lang w:val="en-GB"/>
              </w:rPr>
              <w:t>201</w:t>
            </w:r>
            <w:r>
              <w:rPr>
                <w:rFonts w:ascii="Univers" w:hAnsi="Univers"/>
                <w:sz w:val="16"/>
                <w:szCs w:val="20"/>
                <w:lang w:val="en-GB"/>
              </w:rPr>
              <w:t>2</w:t>
            </w:r>
            <w:r w:rsidRPr="00D16CA7">
              <w:rPr>
                <w:rFonts w:ascii="Univers" w:hAnsi="Univers"/>
                <w:sz w:val="16"/>
                <w:szCs w:val="20"/>
                <w:lang w:val="en-GB"/>
              </w:rPr>
              <w:t>f</w:t>
            </w:r>
          </w:p>
        </w:tc>
      </w:tr>
      <w:tr w:rsidR="00271C7F" w:rsidRPr="00D16CA7" w:rsidTr="00204E1A">
        <w:trPr>
          <w:trHeight w:val="216"/>
        </w:trPr>
        <w:tc>
          <w:tcPr>
            <w:tcW w:w="1638" w:type="dxa"/>
            <w:vAlign w:val="center"/>
          </w:tcPr>
          <w:p w:rsidR="00271C7F" w:rsidRPr="00D16CA7" w:rsidRDefault="00271C7F" w:rsidP="00977395">
            <w:pPr>
              <w:bidi w:val="0"/>
              <w:rPr>
                <w:rFonts w:ascii="Univers" w:hAnsi="Univers"/>
                <w:b/>
                <w:bCs/>
                <w:sz w:val="16"/>
                <w:szCs w:val="20"/>
                <w:lang w:val="en-GB"/>
              </w:rPr>
            </w:pPr>
            <w:r w:rsidRPr="00D16CA7">
              <w:rPr>
                <w:rFonts w:ascii="Univers" w:hAnsi="Univers"/>
                <w:b/>
                <w:bCs/>
                <w:sz w:val="16"/>
                <w:szCs w:val="20"/>
                <w:lang w:val="en-GB"/>
              </w:rPr>
              <w:t>Real GDP</w:t>
            </w:r>
          </w:p>
        </w:tc>
        <w:tc>
          <w:tcPr>
            <w:tcW w:w="810" w:type="dxa"/>
            <w:vAlign w:val="center"/>
          </w:tcPr>
          <w:p w:rsidR="00271C7F" w:rsidRPr="00D16CA7" w:rsidRDefault="00271C7F" w:rsidP="00977395">
            <w:pPr>
              <w:bidi w:val="0"/>
              <w:jc w:val="center"/>
              <w:rPr>
                <w:rFonts w:ascii="Univers" w:hAnsi="Univers"/>
                <w:sz w:val="16"/>
                <w:szCs w:val="20"/>
                <w:lang w:val="en-GB"/>
              </w:rPr>
            </w:pPr>
            <w:r w:rsidRPr="00D16CA7">
              <w:rPr>
                <w:rFonts w:ascii="Univers" w:hAnsi="Univers"/>
                <w:sz w:val="16"/>
                <w:szCs w:val="20"/>
                <w:lang w:val="en-GB"/>
              </w:rPr>
              <w:t>%y/y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271C7F" w:rsidRPr="00CC504F" w:rsidRDefault="00271C7F" w:rsidP="00204E1A">
            <w:pPr>
              <w:bidi w:val="0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t>4.6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vAlign w:val="center"/>
          </w:tcPr>
          <w:p w:rsidR="00271C7F" w:rsidRPr="00CC504F" w:rsidRDefault="00271C7F" w:rsidP="00204E1A">
            <w:pPr>
              <w:bidi w:val="0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t>2</w:t>
            </w:r>
            <w:r w:rsidRPr="00CC504F">
              <w:rPr>
                <w:rFonts w:ascii="Univers" w:hAnsi="Univers"/>
                <w:sz w:val="16"/>
                <w:szCs w:val="16"/>
              </w:rPr>
              <w:t>.</w:t>
            </w:r>
            <w:r>
              <w:rPr>
                <w:rFonts w:ascii="Univers" w:hAnsi="Univers"/>
                <w:sz w:val="16"/>
                <w:szCs w:val="16"/>
              </w:rPr>
              <w:t>4</w:t>
            </w:r>
          </w:p>
        </w:tc>
      </w:tr>
      <w:tr w:rsidR="00271C7F" w:rsidRPr="00D16CA7" w:rsidTr="00204E1A">
        <w:trPr>
          <w:trHeight w:val="216"/>
        </w:trPr>
        <w:tc>
          <w:tcPr>
            <w:tcW w:w="1638" w:type="dxa"/>
            <w:vAlign w:val="center"/>
          </w:tcPr>
          <w:p w:rsidR="00271C7F" w:rsidRPr="00D16CA7" w:rsidRDefault="00271C7F" w:rsidP="00A17443">
            <w:pPr>
              <w:numPr>
                <w:ilvl w:val="0"/>
                <w:numId w:val="24"/>
              </w:numPr>
              <w:bidi w:val="0"/>
              <w:ind w:left="360" w:hanging="180"/>
              <w:rPr>
                <w:rFonts w:ascii="Univers" w:hAnsi="Univers"/>
                <w:b/>
                <w:bCs/>
                <w:sz w:val="16"/>
                <w:szCs w:val="20"/>
                <w:lang w:val="en-GB"/>
              </w:rPr>
            </w:pPr>
            <w:r w:rsidRPr="00D16CA7">
              <w:rPr>
                <w:rFonts w:ascii="Univers" w:hAnsi="Univers"/>
                <w:b/>
                <w:bCs/>
                <w:sz w:val="16"/>
                <w:szCs w:val="20"/>
                <w:lang w:val="en-GB"/>
              </w:rPr>
              <w:t>Non-oil</w:t>
            </w:r>
          </w:p>
        </w:tc>
        <w:tc>
          <w:tcPr>
            <w:tcW w:w="810" w:type="dxa"/>
            <w:vAlign w:val="center"/>
          </w:tcPr>
          <w:p w:rsidR="00271C7F" w:rsidRPr="00D16CA7" w:rsidRDefault="00271C7F" w:rsidP="00977395">
            <w:pPr>
              <w:bidi w:val="0"/>
              <w:jc w:val="center"/>
              <w:rPr>
                <w:rFonts w:ascii="Univers" w:hAnsi="Univers"/>
                <w:sz w:val="16"/>
                <w:szCs w:val="20"/>
                <w:lang w:val="en-GB"/>
              </w:rPr>
            </w:pPr>
            <w:r w:rsidRPr="00D16CA7">
              <w:rPr>
                <w:rFonts w:ascii="Univers" w:hAnsi="Univers"/>
                <w:sz w:val="16"/>
                <w:szCs w:val="20"/>
                <w:lang w:val="en-GB"/>
              </w:rPr>
              <w:t>%y/y</w:t>
            </w:r>
          </w:p>
        </w:tc>
        <w:tc>
          <w:tcPr>
            <w:tcW w:w="1260" w:type="dxa"/>
            <w:vAlign w:val="center"/>
          </w:tcPr>
          <w:p w:rsidR="00271C7F" w:rsidRPr="00CC504F" w:rsidRDefault="00271C7F" w:rsidP="00204E1A">
            <w:pPr>
              <w:bidi w:val="0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t>3.5</w:t>
            </w:r>
          </w:p>
        </w:tc>
        <w:tc>
          <w:tcPr>
            <w:tcW w:w="1152" w:type="dxa"/>
            <w:vAlign w:val="center"/>
          </w:tcPr>
          <w:p w:rsidR="00271C7F" w:rsidRPr="00CC504F" w:rsidRDefault="00271C7F" w:rsidP="00204E1A">
            <w:pPr>
              <w:bidi w:val="0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t>3</w:t>
            </w:r>
            <w:r w:rsidRPr="00CC504F">
              <w:rPr>
                <w:rFonts w:ascii="Univers" w:hAnsi="Univers"/>
                <w:sz w:val="16"/>
                <w:szCs w:val="16"/>
              </w:rPr>
              <w:t>.</w:t>
            </w:r>
            <w:r>
              <w:rPr>
                <w:rFonts w:ascii="Univers" w:hAnsi="Univers"/>
                <w:sz w:val="16"/>
                <w:szCs w:val="16"/>
              </w:rPr>
              <w:t>5</w:t>
            </w:r>
          </w:p>
        </w:tc>
      </w:tr>
      <w:tr w:rsidR="00271C7F" w:rsidRPr="00D16CA7" w:rsidTr="00977395">
        <w:trPr>
          <w:trHeight w:val="216"/>
        </w:trPr>
        <w:tc>
          <w:tcPr>
            <w:tcW w:w="1638" w:type="dxa"/>
            <w:vAlign w:val="center"/>
          </w:tcPr>
          <w:p w:rsidR="00271C7F" w:rsidRPr="00D16CA7" w:rsidRDefault="00271C7F" w:rsidP="00977395">
            <w:pPr>
              <w:bidi w:val="0"/>
              <w:rPr>
                <w:rFonts w:ascii="Univers" w:hAnsi="Univers"/>
                <w:b/>
                <w:bCs/>
                <w:sz w:val="16"/>
                <w:szCs w:val="20"/>
                <w:lang w:val="en-GB" w:eastAsia="en-US"/>
              </w:rPr>
            </w:pPr>
            <w:r w:rsidRPr="00D16CA7">
              <w:rPr>
                <w:rFonts w:ascii="Univers" w:hAnsi="Univers"/>
                <w:b/>
                <w:bCs/>
                <w:sz w:val="16"/>
                <w:szCs w:val="20"/>
                <w:lang w:val="en-GB" w:eastAsia="en-US"/>
              </w:rPr>
              <w:t xml:space="preserve">Inflation (yr </w:t>
            </w:r>
            <w:proofErr w:type="spellStart"/>
            <w:r w:rsidRPr="00D16CA7">
              <w:rPr>
                <w:rFonts w:ascii="Univers" w:hAnsi="Univers"/>
                <w:b/>
                <w:bCs/>
                <w:sz w:val="16"/>
                <w:szCs w:val="20"/>
                <w:lang w:val="en-GB" w:eastAsia="en-US"/>
              </w:rPr>
              <w:t>avg</w:t>
            </w:r>
            <w:proofErr w:type="spellEnd"/>
            <w:r w:rsidRPr="00D16CA7">
              <w:rPr>
                <w:rFonts w:ascii="Univers" w:hAnsi="Univers"/>
                <w:b/>
                <w:bCs/>
                <w:sz w:val="16"/>
                <w:szCs w:val="20"/>
                <w:lang w:val="en-GB" w:eastAsia="en-US"/>
              </w:rPr>
              <w:t>)</w:t>
            </w:r>
          </w:p>
        </w:tc>
        <w:tc>
          <w:tcPr>
            <w:tcW w:w="810" w:type="dxa"/>
            <w:vAlign w:val="center"/>
          </w:tcPr>
          <w:p w:rsidR="00271C7F" w:rsidRPr="00D16CA7" w:rsidRDefault="00271C7F" w:rsidP="00977395">
            <w:pPr>
              <w:bidi w:val="0"/>
              <w:jc w:val="center"/>
              <w:rPr>
                <w:rFonts w:ascii="Univers" w:hAnsi="Univers"/>
                <w:sz w:val="16"/>
                <w:szCs w:val="20"/>
                <w:lang w:val="en-GB" w:eastAsia="en-US"/>
              </w:rPr>
            </w:pPr>
            <w:r w:rsidRPr="00D16CA7">
              <w:rPr>
                <w:rFonts w:ascii="Univers" w:hAnsi="Univers"/>
                <w:sz w:val="16"/>
                <w:szCs w:val="20"/>
                <w:lang w:val="en-GB" w:eastAsia="en-US"/>
              </w:rPr>
              <w:t>%</w:t>
            </w:r>
          </w:p>
        </w:tc>
        <w:tc>
          <w:tcPr>
            <w:tcW w:w="1260" w:type="dxa"/>
            <w:vAlign w:val="center"/>
          </w:tcPr>
          <w:p w:rsidR="00271C7F" w:rsidRPr="00CC504F" w:rsidRDefault="00271C7F" w:rsidP="00204E1A">
            <w:pPr>
              <w:bidi w:val="0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t>0</w:t>
            </w:r>
            <w:r w:rsidRPr="00CC504F">
              <w:rPr>
                <w:rFonts w:ascii="Univers" w:hAnsi="Univers"/>
                <w:sz w:val="16"/>
                <w:szCs w:val="16"/>
              </w:rPr>
              <w:t>.</w:t>
            </w:r>
            <w:r>
              <w:rPr>
                <w:rFonts w:ascii="Univers" w:hAnsi="Univers"/>
                <w:sz w:val="16"/>
                <w:szCs w:val="16"/>
              </w:rPr>
              <w:t>9</w:t>
            </w:r>
          </w:p>
        </w:tc>
        <w:tc>
          <w:tcPr>
            <w:tcW w:w="1152" w:type="dxa"/>
            <w:vAlign w:val="center"/>
          </w:tcPr>
          <w:p w:rsidR="00271C7F" w:rsidRPr="00CC504F" w:rsidRDefault="00271C7F" w:rsidP="00204E1A">
            <w:pPr>
              <w:bidi w:val="0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t>2</w:t>
            </w:r>
            <w:r w:rsidRPr="00CC504F">
              <w:rPr>
                <w:rFonts w:ascii="Univers" w:hAnsi="Univers"/>
                <w:sz w:val="16"/>
                <w:szCs w:val="16"/>
              </w:rPr>
              <w:t>.0</w:t>
            </w:r>
          </w:p>
        </w:tc>
      </w:tr>
      <w:tr w:rsidR="00271C7F" w:rsidRPr="00D16CA7" w:rsidTr="00977395">
        <w:trPr>
          <w:trHeight w:val="216"/>
        </w:trPr>
        <w:tc>
          <w:tcPr>
            <w:tcW w:w="1638" w:type="dxa"/>
            <w:vAlign w:val="center"/>
          </w:tcPr>
          <w:p w:rsidR="00271C7F" w:rsidRPr="00D16CA7" w:rsidRDefault="00271C7F" w:rsidP="00977395">
            <w:pPr>
              <w:bidi w:val="0"/>
              <w:rPr>
                <w:rFonts w:ascii="Univers" w:hAnsi="Univers"/>
                <w:b/>
                <w:bCs/>
                <w:sz w:val="16"/>
                <w:szCs w:val="20"/>
                <w:lang w:val="en-GB" w:eastAsia="en-US"/>
              </w:rPr>
            </w:pPr>
            <w:r w:rsidRPr="00D16CA7">
              <w:rPr>
                <w:rFonts w:ascii="Univers" w:hAnsi="Univers"/>
                <w:b/>
                <w:bCs/>
                <w:sz w:val="16"/>
                <w:szCs w:val="20"/>
                <w:lang w:val="en-GB" w:eastAsia="en-US"/>
              </w:rPr>
              <w:t>Budget balance</w:t>
            </w:r>
          </w:p>
        </w:tc>
        <w:tc>
          <w:tcPr>
            <w:tcW w:w="810" w:type="dxa"/>
            <w:vAlign w:val="center"/>
          </w:tcPr>
          <w:p w:rsidR="00271C7F" w:rsidRPr="00D16CA7" w:rsidRDefault="00271C7F" w:rsidP="00977395">
            <w:pPr>
              <w:bidi w:val="0"/>
              <w:jc w:val="center"/>
              <w:rPr>
                <w:rFonts w:ascii="Univers" w:hAnsi="Univers"/>
                <w:sz w:val="16"/>
                <w:szCs w:val="20"/>
                <w:lang w:val="en-GB" w:eastAsia="en-US"/>
              </w:rPr>
            </w:pPr>
            <w:r w:rsidRPr="00D16CA7">
              <w:rPr>
                <w:rFonts w:ascii="Univers" w:hAnsi="Univers"/>
                <w:sz w:val="16"/>
                <w:szCs w:val="20"/>
                <w:lang w:val="en-GB" w:eastAsia="en-US"/>
              </w:rPr>
              <w:t>% GDP</w:t>
            </w:r>
          </w:p>
        </w:tc>
        <w:tc>
          <w:tcPr>
            <w:tcW w:w="1260" w:type="dxa"/>
            <w:vAlign w:val="center"/>
          </w:tcPr>
          <w:p w:rsidR="00271C7F" w:rsidRPr="00CC504F" w:rsidRDefault="00271C7F" w:rsidP="00204E1A">
            <w:pPr>
              <w:bidi w:val="0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t>5</w:t>
            </w:r>
            <w:r w:rsidRPr="00CC504F">
              <w:rPr>
                <w:rFonts w:ascii="Univers" w:hAnsi="Univers"/>
                <w:sz w:val="16"/>
                <w:szCs w:val="16"/>
              </w:rPr>
              <w:t>.0</w:t>
            </w:r>
          </w:p>
        </w:tc>
        <w:tc>
          <w:tcPr>
            <w:tcW w:w="1152" w:type="dxa"/>
            <w:vAlign w:val="center"/>
          </w:tcPr>
          <w:p w:rsidR="00271C7F" w:rsidRPr="00CC504F" w:rsidRDefault="00271C7F" w:rsidP="00204E1A">
            <w:pPr>
              <w:bidi w:val="0"/>
              <w:jc w:val="center"/>
              <w:rPr>
                <w:rFonts w:ascii="Univers" w:hAnsi="Univers"/>
                <w:sz w:val="16"/>
                <w:szCs w:val="16"/>
              </w:rPr>
            </w:pPr>
            <w:r>
              <w:rPr>
                <w:rFonts w:ascii="Univers" w:hAnsi="Univers"/>
                <w:sz w:val="16"/>
                <w:szCs w:val="16"/>
              </w:rPr>
              <w:t>5</w:t>
            </w:r>
            <w:r w:rsidRPr="00CC504F">
              <w:rPr>
                <w:rFonts w:ascii="Univers" w:hAnsi="Univers"/>
                <w:sz w:val="16"/>
                <w:szCs w:val="16"/>
              </w:rPr>
              <w:t>.0</w:t>
            </w:r>
          </w:p>
        </w:tc>
      </w:tr>
      <w:tr w:rsidR="00A17443" w:rsidRPr="00D16CA7" w:rsidTr="00977395">
        <w:trPr>
          <w:trHeight w:val="20"/>
        </w:trPr>
        <w:tc>
          <w:tcPr>
            <w:tcW w:w="1638" w:type="dxa"/>
            <w:tcBorders>
              <w:bottom w:val="single" w:sz="4" w:space="0" w:color="00009B"/>
            </w:tcBorders>
            <w:vAlign w:val="center"/>
          </w:tcPr>
          <w:p w:rsidR="00A17443" w:rsidRPr="00D16CA7" w:rsidRDefault="00A17443" w:rsidP="00977395">
            <w:pPr>
              <w:bidi w:val="0"/>
              <w:rPr>
                <w:rFonts w:ascii="Univers" w:hAnsi="Univers"/>
                <w:sz w:val="4"/>
                <w:szCs w:val="20"/>
                <w:lang w:val="en-GB" w:eastAsia="en-US"/>
              </w:rPr>
            </w:pPr>
          </w:p>
        </w:tc>
        <w:tc>
          <w:tcPr>
            <w:tcW w:w="810" w:type="dxa"/>
            <w:tcBorders>
              <w:bottom w:val="single" w:sz="4" w:space="0" w:color="00009B"/>
            </w:tcBorders>
            <w:vAlign w:val="center"/>
          </w:tcPr>
          <w:p w:rsidR="00A17443" w:rsidRPr="00D16CA7" w:rsidRDefault="00A17443" w:rsidP="00977395">
            <w:pPr>
              <w:bidi w:val="0"/>
              <w:jc w:val="center"/>
              <w:rPr>
                <w:rFonts w:ascii="Univers" w:hAnsi="Univers"/>
                <w:sz w:val="4"/>
                <w:szCs w:val="20"/>
                <w:lang w:val="en-GB" w:eastAsia="en-US"/>
              </w:rPr>
            </w:pPr>
          </w:p>
        </w:tc>
        <w:tc>
          <w:tcPr>
            <w:tcW w:w="1260" w:type="dxa"/>
            <w:tcBorders>
              <w:bottom w:val="single" w:sz="4" w:space="0" w:color="00009B"/>
            </w:tcBorders>
            <w:vAlign w:val="center"/>
          </w:tcPr>
          <w:p w:rsidR="00A17443" w:rsidRPr="00D16CA7" w:rsidRDefault="00A17443" w:rsidP="00977395">
            <w:pPr>
              <w:bidi w:val="0"/>
              <w:jc w:val="center"/>
              <w:rPr>
                <w:rFonts w:ascii="Univers" w:hAnsi="Univers"/>
                <w:sz w:val="4"/>
                <w:szCs w:val="20"/>
                <w:lang w:val="en-GB" w:eastAsia="en-US"/>
              </w:rPr>
            </w:pPr>
          </w:p>
        </w:tc>
        <w:tc>
          <w:tcPr>
            <w:tcW w:w="1152" w:type="dxa"/>
            <w:tcBorders>
              <w:bottom w:val="single" w:sz="4" w:space="0" w:color="00009B"/>
            </w:tcBorders>
            <w:vAlign w:val="center"/>
          </w:tcPr>
          <w:p w:rsidR="00A17443" w:rsidRPr="00D16CA7" w:rsidRDefault="00A17443" w:rsidP="00977395">
            <w:pPr>
              <w:bidi w:val="0"/>
              <w:jc w:val="center"/>
              <w:rPr>
                <w:rFonts w:ascii="Univers" w:hAnsi="Univers"/>
                <w:sz w:val="4"/>
                <w:szCs w:val="20"/>
                <w:lang w:val="en-GB" w:eastAsia="en-US"/>
              </w:rPr>
            </w:pPr>
          </w:p>
        </w:tc>
      </w:tr>
    </w:tbl>
    <w:p w:rsidR="00A17443" w:rsidRDefault="00A17443" w:rsidP="00A17443">
      <w:pPr>
        <w:bidi w:val="0"/>
        <w:spacing w:line="264" w:lineRule="auto"/>
        <w:jc w:val="both"/>
        <w:rPr>
          <w:rFonts w:ascii="Univers" w:hAnsi="Univers"/>
          <w:szCs w:val="20"/>
        </w:rPr>
      </w:pPr>
    </w:p>
    <w:p w:rsidR="0033154F" w:rsidRDefault="0033154F" w:rsidP="0033154F">
      <w:pPr>
        <w:bidi w:val="0"/>
        <w:spacing w:line="264" w:lineRule="auto"/>
        <w:jc w:val="both"/>
        <w:rPr>
          <w:rFonts w:ascii="Univers" w:hAnsi="Univers"/>
          <w:szCs w:val="20"/>
        </w:rPr>
      </w:pPr>
    </w:p>
    <w:tbl>
      <w:tblPr>
        <w:tblW w:w="0" w:type="auto"/>
        <w:jc w:val="center"/>
        <w:tblInd w:w="-2862" w:type="dxa"/>
        <w:tblBorders>
          <w:top w:val="single" w:sz="2" w:space="0" w:color="000080"/>
          <w:bottom w:val="single" w:sz="2" w:space="0" w:color="000080"/>
        </w:tblBorders>
        <w:tblLayout w:type="fixed"/>
        <w:tblLook w:val="01E0"/>
      </w:tblPr>
      <w:tblGrid>
        <w:gridCol w:w="8751"/>
      </w:tblGrid>
      <w:tr w:rsidR="002649E1" w:rsidRPr="00240011" w:rsidTr="000C5717">
        <w:trPr>
          <w:trHeight w:val="178"/>
          <w:jc w:val="center"/>
        </w:trPr>
        <w:tc>
          <w:tcPr>
            <w:tcW w:w="8751" w:type="dxa"/>
            <w:shd w:val="clear" w:color="auto" w:fill="auto"/>
          </w:tcPr>
          <w:p w:rsidR="002649E1" w:rsidRDefault="002649E1" w:rsidP="000C5717">
            <w:pPr>
              <w:pBdr>
                <w:top w:val="single" w:sz="2" w:space="1" w:color="000080"/>
              </w:pBdr>
              <w:bidi w:val="0"/>
              <w:jc w:val="center"/>
              <w:rPr>
                <w:rFonts w:ascii="Univers" w:hAnsi="Univers"/>
                <w:b/>
                <w:bCs/>
                <w:szCs w:val="20"/>
              </w:rPr>
            </w:pPr>
            <w:r>
              <w:rPr>
                <w:rFonts w:ascii="Univers" w:hAnsi="Univers"/>
                <w:b/>
                <w:bCs/>
                <w:szCs w:val="20"/>
              </w:rPr>
              <w:t xml:space="preserve">Real GDP </w:t>
            </w:r>
          </w:p>
          <w:p w:rsidR="002649E1" w:rsidRPr="004F3F5D" w:rsidRDefault="002649E1" w:rsidP="002649E1">
            <w:pPr>
              <w:pBdr>
                <w:top w:val="single" w:sz="2" w:space="1" w:color="000080"/>
              </w:pBdr>
              <w:bidi w:val="0"/>
              <w:jc w:val="center"/>
              <w:rPr>
                <w:rFonts w:ascii="Univers" w:hAnsi="Univers"/>
                <w:b/>
                <w:bCs/>
                <w:szCs w:val="20"/>
              </w:rPr>
            </w:pPr>
            <w:r>
              <w:rPr>
                <w:rFonts w:ascii="Univers" w:hAnsi="Univers"/>
                <w:b/>
                <w:bCs/>
                <w:szCs w:val="20"/>
              </w:rPr>
              <w:t>(% y/y)</w:t>
            </w:r>
          </w:p>
        </w:tc>
      </w:tr>
      <w:tr w:rsidR="002649E1" w:rsidRPr="00240011" w:rsidTr="000C5717">
        <w:trPr>
          <w:trHeight w:val="2637"/>
          <w:jc w:val="center"/>
        </w:trPr>
        <w:tc>
          <w:tcPr>
            <w:tcW w:w="8751" w:type="dxa"/>
            <w:shd w:val="clear" w:color="auto" w:fill="auto"/>
          </w:tcPr>
          <w:p w:rsidR="002649E1" w:rsidRPr="00240011" w:rsidRDefault="001021BA" w:rsidP="000C5717">
            <w:pPr>
              <w:bidi w:val="0"/>
              <w:spacing w:line="264" w:lineRule="auto"/>
              <w:jc w:val="center"/>
              <w:rPr>
                <w:rFonts w:ascii="Univers" w:hAnsi="Univers"/>
                <w:b/>
                <w:bCs/>
                <w:color w:val="000000"/>
                <w:sz w:val="24"/>
              </w:rPr>
            </w:pPr>
            <w:r>
              <w:rPr>
                <w:rFonts w:ascii="Univers" w:hAnsi="Univers"/>
                <w:b/>
                <w:bCs/>
                <w:noProof/>
                <w:color w:val="000000"/>
                <w:sz w:val="24"/>
                <w:lang w:eastAsia="en-US"/>
              </w:rPr>
              <w:drawing>
                <wp:inline distT="0" distB="0" distL="0" distR="0">
                  <wp:extent cx="3831336" cy="2100360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1336" cy="210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49E1" w:rsidRDefault="002649E1" w:rsidP="00E91666">
      <w:pPr>
        <w:pBdr>
          <w:top w:val="single" w:sz="4" w:space="1" w:color="000080"/>
        </w:pBdr>
        <w:bidi w:val="0"/>
        <w:jc w:val="both"/>
        <w:rPr>
          <w:rFonts w:ascii="Univers" w:hAnsi="Univers"/>
          <w:i/>
          <w:iCs/>
          <w:sz w:val="16"/>
          <w:szCs w:val="16"/>
        </w:rPr>
      </w:pPr>
      <w:r w:rsidRPr="00E91666">
        <w:rPr>
          <w:rFonts w:ascii="Univers" w:hAnsi="Univers"/>
          <w:i/>
          <w:iCs/>
          <w:sz w:val="16"/>
          <w:szCs w:val="16"/>
        </w:rPr>
        <w:t xml:space="preserve">Source: </w:t>
      </w:r>
      <w:r w:rsidR="00E91666" w:rsidRPr="00E91666">
        <w:rPr>
          <w:rFonts w:ascii="Univers" w:hAnsi="Univers"/>
          <w:i/>
          <w:iCs/>
          <w:sz w:val="16"/>
          <w:szCs w:val="16"/>
        </w:rPr>
        <w:t>National Bureau of Statistics</w:t>
      </w:r>
      <w:r w:rsidRPr="00E91666">
        <w:rPr>
          <w:rFonts w:ascii="Univers" w:hAnsi="Univers"/>
          <w:i/>
          <w:iCs/>
          <w:sz w:val="16"/>
          <w:szCs w:val="16"/>
        </w:rPr>
        <w:t>, NBK forecast</w:t>
      </w:r>
      <w:r w:rsidR="00EE6FA4" w:rsidRPr="00E91666">
        <w:rPr>
          <w:rFonts w:ascii="Univers" w:hAnsi="Univers"/>
          <w:i/>
          <w:iCs/>
          <w:sz w:val="16"/>
          <w:szCs w:val="16"/>
        </w:rPr>
        <w:t>s</w:t>
      </w:r>
    </w:p>
    <w:p w:rsidR="002649E1" w:rsidRDefault="002649E1" w:rsidP="002649E1">
      <w:pPr>
        <w:bidi w:val="0"/>
        <w:spacing w:line="264" w:lineRule="auto"/>
        <w:jc w:val="both"/>
        <w:rPr>
          <w:rFonts w:ascii="Univers" w:hAnsi="Univers"/>
          <w:szCs w:val="20"/>
        </w:rPr>
      </w:pPr>
    </w:p>
    <w:p w:rsidR="00F3372C" w:rsidRDefault="00271C7F" w:rsidP="001343C6">
      <w:pPr>
        <w:bidi w:val="0"/>
        <w:spacing w:line="264" w:lineRule="auto"/>
        <w:jc w:val="both"/>
        <w:rPr>
          <w:rFonts w:ascii="Univers" w:hAnsi="Univers"/>
          <w:szCs w:val="20"/>
          <w:lang w:eastAsia="en-US"/>
        </w:rPr>
      </w:pPr>
      <w:r>
        <w:rPr>
          <w:rFonts w:ascii="Univers" w:hAnsi="Univers"/>
          <w:szCs w:val="20"/>
          <w:lang w:eastAsia="en-US"/>
        </w:rPr>
        <w:t>Against this backdrop, real growth in non-oil GDP is expected to remain below trend at 3.5% in 2012, following similar growth in 2011. This will be amongst the weakest performances in the region. But there are some silver linings</w:t>
      </w:r>
      <w:r w:rsidR="001343C6">
        <w:rPr>
          <w:rFonts w:ascii="Univers" w:hAnsi="Univers"/>
          <w:szCs w:val="20"/>
          <w:lang w:eastAsia="en-US"/>
        </w:rPr>
        <w:t>:</w:t>
      </w:r>
      <w:r>
        <w:rPr>
          <w:rFonts w:ascii="Univers" w:hAnsi="Univers"/>
          <w:szCs w:val="20"/>
          <w:lang w:eastAsia="en-US"/>
        </w:rPr>
        <w:t xml:space="preserve"> High oil prices will sustain confidence while the consolidation phase runs its course;</w:t>
      </w:r>
      <w:r w:rsidRPr="00CC504F">
        <w:rPr>
          <w:rFonts w:ascii="Univers" w:hAnsi="Univers"/>
          <w:szCs w:val="20"/>
          <w:lang w:eastAsia="en-US"/>
        </w:rPr>
        <w:t xml:space="preserve"> </w:t>
      </w:r>
      <w:r>
        <w:rPr>
          <w:rFonts w:ascii="Univers" w:hAnsi="Univers"/>
          <w:szCs w:val="20"/>
          <w:lang w:eastAsia="en-US"/>
        </w:rPr>
        <w:t>strong regional growth will support internationally-exposed sectors (such as trade, tourism and finance) if activity elsewhere in the world weakens; and another year of low inflation and soft real estate prices will boost Dubai’s cost competitiveness versus the rest of the GCC, helping to support the medium-term outlook.</w:t>
      </w:r>
    </w:p>
    <w:p w:rsidR="009711EF" w:rsidRPr="002649E1" w:rsidRDefault="009711EF" w:rsidP="009711EF">
      <w:pPr>
        <w:bidi w:val="0"/>
        <w:spacing w:line="264" w:lineRule="auto"/>
        <w:jc w:val="both"/>
        <w:rPr>
          <w:rFonts w:ascii="Univers" w:hAnsi="Univers"/>
          <w:szCs w:val="20"/>
        </w:rPr>
      </w:pPr>
    </w:p>
    <w:p w:rsidR="00271C7F" w:rsidRPr="00CC504F" w:rsidRDefault="00271C7F" w:rsidP="00B07A6D">
      <w:pPr>
        <w:bidi w:val="0"/>
        <w:spacing w:line="264" w:lineRule="auto"/>
        <w:jc w:val="both"/>
        <w:rPr>
          <w:rFonts w:ascii="Univers" w:hAnsi="Univers"/>
          <w:i/>
          <w:iCs/>
          <w:sz w:val="16"/>
        </w:rPr>
      </w:pPr>
      <w:r w:rsidRPr="00CC504F">
        <w:rPr>
          <w:rFonts w:ascii="Univers" w:hAnsi="Univers"/>
          <w:szCs w:val="20"/>
          <w:lang w:eastAsia="en-US"/>
        </w:rPr>
        <w:t xml:space="preserve">Growth in hydrocarbon sector output </w:t>
      </w:r>
      <w:r>
        <w:rPr>
          <w:rFonts w:ascii="Univers" w:hAnsi="Univers"/>
          <w:szCs w:val="20"/>
          <w:lang w:eastAsia="en-US"/>
        </w:rPr>
        <w:t>in 2011 is estimated at</w:t>
      </w:r>
      <w:r w:rsidRPr="00CC504F">
        <w:rPr>
          <w:rFonts w:ascii="Univers" w:hAnsi="Univers"/>
          <w:szCs w:val="20"/>
          <w:lang w:eastAsia="en-US"/>
        </w:rPr>
        <w:t xml:space="preserve"> 7%</w:t>
      </w:r>
      <w:r>
        <w:rPr>
          <w:rFonts w:ascii="Univers" w:hAnsi="Univers"/>
          <w:szCs w:val="20"/>
          <w:lang w:eastAsia="en-US"/>
        </w:rPr>
        <w:t>, in line with our previous forecast</w:t>
      </w:r>
      <w:r w:rsidRPr="00CC504F">
        <w:rPr>
          <w:rFonts w:ascii="Univers" w:hAnsi="Univers"/>
          <w:szCs w:val="20"/>
          <w:lang w:eastAsia="en-US"/>
        </w:rPr>
        <w:t xml:space="preserve">. Crude oil output increased </w:t>
      </w:r>
      <w:r w:rsidRPr="000F4373">
        <w:rPr>
          <w:rFonts w:ascii="Univers" w:hAnsi="Univers"/>
          <w:szCs w:val="20"/>
          <w:lang w:eastAsia="en-US"/>
        </w:rPr>
        <w:t>by 226,000 barrels per day (bpd), or 10%, to 2.5</w:t>
      </w:r>
      <w:r>
        <w:rPr>
          <w:rFonts w:ascii="Univers" w:hAnsi="Univers"/>
          <w:szCs w:val="20"/>
          <w:lang w:eastAsia="en-US"/>
        </w:rPr>
        <w:t>6 mbpd in the year to October 2011</w:t>
      </w:r>
      <w:r w:rsidRPr="00CC504F">
        <w:rPr>
          <w:rFonts w:ascii="Univers" w:hAnsi="Univers"/>
          <w:szCs w:val="20"/>
          <w:lang w:eastAsia="en-US"/>
        </w:rPr>
        <w:t xml:space="preserve">, as </w:t>
      </w:r>
      <w:r>
        <w:rPr>
          <w:rFonts w:ascii="Univers" w:hAnsi="Univers"/>
          <w:szCs w:val="20"/>
          <w:lang w:eastAsia="en-US"/>
        </w:rPr>
        <w:t xml:space="preserve">key </w:t>
      </w:r>
      <w:r w:rsidRPr="00CC504F">
        <w:rPr>
          <w:rFonts w:ascii="Univers" w:hAnsi="Univers"/>
          <w:szCs w:val="20"/>
          <w:lang w:eastAsia="en-US"/>
        </w:rPr>
        <w:t xml:space="preserve">OPEC </w:t>
      </w:r>
      <w:r>
        <w:rPr>
          <w:rFonts w:ascii="Univers" w:hAnsi="Univers"/>
          <w:szCs w:val="20"/>
          <w:lang w:eastAsia="en-US"/>
        </w:rPr>
        <w:t xml:space="preserve">members moved to offset the collapse in </w:t>
      </w:r>
      <w:r w:rsidRPr="00CC504F">
        <w:rPr>
          <w:rFonts w:ascii="Univers" w:hAnsi="Univers"/>
          <w:szCs w:val="20"/>
          <w:lang w:eastAsia="en-US"/>
        </w:rPr>
        <w:t xml:space="preserve">Libyan output. </w:t>
      </w:r>
      <w:r>
        <w:rPr>
          <w:rFonts w:ascii="Univers" w:hAnsi="Univers"/>
          <w:szCs w:val="20"/>
          <w:lang w:eastAsia="en-US"/>
        </w:rPr>
        <w:t xml:space="preserve">As Libyan output returns and oil prices remain firm, the UAE’s production could edge down from </w:t>
      </w:r>
      <w:r>
        <w:rPr>
          <w:rFonts w:ascii="Univers" w:hAnsi="Univers"/>
          <w:szCs w:val="20"/>
          <w:lang w:eastAsia="en-US"/>
        </w:rPr>
        <w:lastRenderedPageBreak/>
        <w:t>current levels in 2012, but remain flat-</w:t>
      </w:r>
      <w:proofErr w:type="spellStart"/>
      <w:r>
        <w:rPr>
          <w:rFonts w:ascii="Univers" w:hAnsi="Univers"/>
          <w:szCs w:val="20"/>
          <w:lang w:eastAsia="en-US"/>
        </w:rPr>
        <w:t>ish</w:t>
      </w:r>
      <w:proofErr w:type="spellEnd"/>
      <w:r>
        <w:rPr>
          <w:rFonts w:ascii="Univers" w:hAnsi="Univers"/>
          <w:szCs w:val="20"/>
          <w:lang w:eastAsia="en-US"/>
        </w:rPr>
        <w:t xml:space="preserve"> for the year as a whole. O</w:t>
      </w:r>
      <w:r w:rsidRPr="00CC504F">
        <w:rPr>
          <w:rFonts w:ascii="Univers" w:hAnsi="Univers"/>
          <w:szCs w:val="20"/>
          <w:lang w:eastAsia="en-US"/>
        </w:rPr>
        <w:t>verall</w:t>
      </w:r>
      <w:r>
        <w:rPr>
          <w:rFonts w:ascii="Univers" w:hAnsi="Univers"/>
          <w:szCs w:val="20"/>
          <w:lang w:eastAsia="en-US"/>
        </w:rPr>
        <w:t>,</w:t>
      </w:r>
      <w:r w:rsidRPr="00CC504F">
        <w:rPr>
          <w:rFonts w:ascii="Univers" w:hAnsi="Univers"/>
          <w:szCs w:val="20"/>
          <w:lang w:eastAsia="en-US"/>
        </w:rPr>
        <w:t xml:space="preserve"> </w:t>
      </w:r>
      <w:r>
        <w:rPr>
          <w:rFonts w:ascii="Univers" w:hAnsi="Univers"/>
          <w:szCs w:val="20"/>
          <w:lang w:eastAsia="en-US"/>
        </w:rPr>
        <w:t xml:space="preserve">real </w:t>
      </w:r>
      <w:r w:rsidRPr="00CC504F">
        <w:rPr>
          <w:rFonts w:ascii="Univers" w:hAnsi="Univers"/>
          <w:szCs w:val="20"/>
          <w:lang w:eastAsia="en-US"/>
        </w:rPr>
        <w:t xml:space="preserve">GDP growth is seen </w:t>
      </w:r>
      <w:r>
        <w:rPr>
          <w:rFonts w:ascii="Univers" w:hAnsi="Univers"/>
          <w:szCs w:val="20"/>
          <w:lang w:eastAsia="en-US"/>
        </w:rPr>
        <w:t xml:space="preserve">slowing to 2.4% </w:t>
      </w:r>
      <w:r w:rsidRPr="00CC504F">
        <w:rPr>
          <w:rFonts w:ascii="Univers" w:hAnsi="Univers"/>
          <w:szCs w:val="20"/>
          <w:lang w:eastAsia="en-US"/>
        </w:rPr>
        <w:t xml:space="preserve">this year </w:t>
      </w:r>
      <w:r>
        <w:rPr>
          <w:rFonts w:ascii="Univers" w:hAnsi="Univers"/>
          <w:szCs w:val="20"/>
          <w:lang w:eastAsia="en-US"/>
        </w:rPr>
        <w:t>from 4.6% in 2011</w:t>
      </w:r>
      <w:r w:rsidRPr="00CC504F">
        <w:rPr>
          <w:rFonts w:ascii="Univers" w:hAnsi="Univers"/>
          <w:szCs w:val="20"/>
          <w:lang w:eastAsia="en-US"/>
        </w:rPr>
        <w:t>.</w:t>
      </w:r>
    </w:p>
    <w:p w:rsidR="00814F5E" w:rsidRDefault="00814F5E" w:rsidP="00814F5E">
      <w:pPr>
        <w:bidi w:val="0"/>
        <w:spacing w:line="264" w:lineRule="auto"/>
        <w:jc w:val="both"/>
        <w:rPr>
          <w:rFonts w:ascii="Univers" w:hAnsi="Univers"/>
          <w:szCs w:val="20"/>
        </w:rPr>
      </w:pPr>
    </w:p>
    <w:p w:rsidR="00271C7F" w:rsidRPr="00CC504F" w:rsidRDefault="00271C7F" w:rsidP="00173964">
      <w:pPr>
        <w:bidi w:val="0"/>
        <w:spacing w:line="264" w:lineRule="auto"/>
        <w:jc w:val="both"/>
        <w:rPr>
          <w:rFonts w:ascii="Univers" w:hAnsi="Univers"/>
          <w:szCs w:val="20"/>
          <w:lang w:eastAsia="en-US"/>
        </w:rPr>
      </w:pPr>
      <w:r>
        <w:rPr>
          <w:rFonts w:ascii="Univers" w:hAnsi="Univers"/>
          <w:szCs w:val="20"/>
          <w:lang w:eastAsia="en-US"/>
        </w:rPr>
        <w:t>From a peak of 1.6% y/y in January 2011, c</w:t>
      </w:r>
      <w:r w:rsidRPr="00CC504F">
        <w:rPr>
          <w:rFonts w:ascii="Univers" w:hAnsi="Univers"/>
          <w:szCs w:val="20"/>
          <w:lang w:eastAsia="en-US"/>
        </w:rPr>
        <w:t xml:space="preserve">onsumer price inflation </w:t>
      </w:r>
      <w:r>
        <w:rPr>
          <w:rFonts w:ascii="Univers" w:hAnsi="Univers"/>
          <w:szCs w:val="20"/>
          <w:lang w:eastAsia="en-US"/>
        </w:rPr>
        <w:t>fell back into deflation territory, reaching -0.1% by November. The decline was the result of more aggressive falls in housing rents, and a sharp deceleration in transportation costs. Food price inflation on the other hand – unlike in other GCC economies – has proved quite sticky. A combination of sluggish economic activity, weak credit growth, softer global food prices and the impact of a stronger US dollar on UAE import prices will keep inflation very low this year</w:t>
      </w:r>
      <w:r w:rsidRPr="00CC504F">
        <w:rPr>
          <w:rFonts w:ascii="Univers" w:hAnsi="Univers"/>
          <w:szCs w:val="20"/>
          <w:lang w:eastAsia="en-US"/>
        </w:rPr>
        <w:t xml:space="preserve">, </w:t>
      </w:r>
      <w:r>
        <w:rPr>
          <w:rFonts w:ascii="Univers" w:hAnsi="Univers"/>
          <w:szCs w:val="20"/>
          <w:lang w:eastAsia="en-US"/>
        </w:rPr>
        <w:t>at an average of</w:t>
      </w:r>
      <w:r w:rsidRPr="00CC504F">
        <w:rPr>
          <w:rFonts w:ascii="Univers" w:hAnsi="Univers"/>
          <w:szCs w:val="20"/>
          <w:lang w:eastAsia="en-US"/>
        </w:rPr>
        <w:t xml:space="preserve"> 2.0%. </w:t>
      </w:r>
    </w:p>
    <w:p w:rsidR="00D44EA2" w:rsidRDefault="00D44EA2" w:rsidP="00D44EA2">
      <w:pPr>
        <w:bidi w:val="0"/>
        <w:spacing w:line="264" w:lineRule="auto"/>
        <w:jc w:val="both"/>
        <w:rPr>
          <w:rFonts w:ascii="Univers" w:hAnsi="Univers"/>
          <w:szCs w:val="20"/>
        </w:rPr>
      </w:pPr>
    </w:p>
    <w:tbl>
      <w:tblPr>
        <w:tblW w:w="0" w:type="auto"/>
        <w:jc w:val="center"/>
        <w:tblInd w:w="-2862" w:type="dxa"/>
        <w:tblBorders>
          <w:top w:val="single" w:sz="2" w:space="0" w:color="000080"/>
          <w:bottom w:val="single" w:sz="2" w:space="0" w:color="000080"/>
        </w:tblBorders>
        <w:tblLayout w:type="fixed"/>
        <w:tblLook w:val="01E0"/>
      </w:tblPr>
      <w:tblGrid>
        <w:gridCol w:w="8751"/>
      </w:tblGrid>
      <w:tr w:rsidR="0047295F" w:rsidRPr="00240011" w:rsidTr="00204E1A">
        <w:trPr>
          <w:trHeight w:val="178"/>
          <w:jc w:val="center"/>
        </w:trPr>
        <w:tc>
          <w:tcPr>
            <w:tcW w:w="8751" w:type="dxa"/>
            <w:shd w:val="clear" w:color="auto" w:fill="auto"/>
          </w:tcPr>
          <w:p w:rsidR="0047295F" w:rsidRDefault="0047295F" w:rsidP="00E30E1D">
            <w:pPr>
              <w:pBdr>
                <w:top w:val="single" w:sz="2" w:space="1" w:color="000080"/>
              </w:pBdr>
              <w:bidi w:val="0"/>
              <w:jc w:val="center"/>
              <w:rPr>
                <w:rFonts w:ascii="Univers" w:hAnsi="Univers"/>
                <w:b/>
                <w:bCs/>
                <w:szCs w:val="20"/>
              </w:rPr>
            </w:pPr>
            <w:r>
              <w:rPr>
                <w:rFonts w:ascii="Univers" w:hAnsi="Univers"/>
                <w:b/>
                <w:bCs/>
                <w:szCs w:val="20"/>
              </w:rPr>
              <w:t xml:space="preserve">Consumer Price </w:t>
            </w:r>
            <w:r w:rsidR="00E30E1D">
              <w:rPr>
                <w:rFonts w:ascii="Univers" w:hAnsi="Univers"/>
                <w:b/>
                <w:bCs/>
                <w:szCs w:val="20"/>
              </w:rPr>
              <w:t>Inflation</w:t>
            </w:r>
            <w:r>
              <w:rPr>
                <w:rFonts w:ascii="Univers" w:hAnsi="Univers"/>
                <w:b/>
                <w:bCs/>
                <w:szCs w:val="20"/>
              </w:rPr>
              <w:t xml:space="preserve"> </w:t>
            </w:r>
          </w:p>
          <w:p w:rsidR="0047295F" w:rsidRPr="004F3F5D" w:rsidRDefault="0047295F" w:rsidP="00204E1A">
            <w:pPr>
              <w:pBdr>
                <w:top w:val="single" w:sz="2" w:space="1" w:color="000080"/>
              </w:pBdr>
              <w:bidi w:val="0"/>
              <w:jc w:val="center"/>
              <w:rPr>
                <w:rFonts w:ascii="Univers" w:hAnsi="Univers"/>
                <w:b/>
                <w:bCs/>
                <w:szCs w:val="20"/>
              </w:rPr>
            </w:pPr>
            <w:r>
              <w:rPr>
                <w:rFonts w:ascii="Univers" w:hAnsi="Univers"/>
                <w:b/>
                <w:bCs/>
                <w:szCs w:val="20"/>
              </w:rPr>
              <w:t>(% y/y)</w:t>
            </w:r>
          </w:p>
        </w:tc>
      </w:tr>
      <w:tr w:rsidR="0047295F" w:rsidRPr="00240011" w:rsidTr="00204E1A">
        <w:trPr>
          <w:trHeight w:val="2637"/>
          <w:jc w:val="center"/>
        </w:trPr>
        <w:tc>
          <w:tcPr>
            <w:tcW w:w="8751" w:type="dxa"/>
            <w:shd w:val="clear" w:color="auto" w:fill="auto"/>
          </w:tcPr>
          <w:p w:rsidR="0047295F" w:rsidRPr="00240011" w:rsidRDefault="00C86F3B" w:rsidP="00204E1A">
            <w:pPr>
              <w:bidi w:val="0"/>
              <w:spacing w:line="264" w:lineRule="auto"/>
              <w:jc w:val="center"/>
              <w:rPr>
                <w:rFonts w:ascii="Univers" w:hAnsi="Univers"/>
                <w:b/>
                <w:bCs/>
                <w:color w:val="000000"/>
                <w:sz w:val="24"/>
              </w:rPr>
            </w:pPr>
            <w:r>
              <w:rPr>
                <w:rFonts w:ascii="Univers" w:hAnsi="Univers"/>
                <w:b/>
                <w:bCs/>
                <w:noProof/>
                <w:color w:val="000000"/>
                <w:sz w:val="24"/>
                <w:lang w:eastAsia="en-US"/>
              </w:rPr>
              <w:drawing>
                <wp:inline distT="0" distB="0" distL="0" distR="0">
                  <wp:extent cx="3831336" cy="2100360"/>
                  <wp:effectExtent l="1905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1336" cy="210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666" w:rsidRDefault="00E91666" w:rsidP="00E91666">
      <w:pPr>
        <w:pBdr>
          <w:top w:val="single" w:sz="4" w:space="1" w:color="000080"/>
        </w:pBdr>
        <w:bidi w:val="0"/>
        <w:jc w:val="both"/>
        <w:rPr>
          <w:rFonts w:ascii="Univers" w:hAnsi="Univers"/>
          <w:i/>
          <w:iCs/>
          <w:sz w:val="16"/>
          <w:szCs w:val="16"/>
        </w:rPr>
      </w:pPr>
      <w:r w:rsidRPr="00E91666">
        <w:rPr>
          <w:rFonts w:ascii="Univers" w:hAnsi="Univers"/>
          <w:i/>
          <w:iCs/>
          <w:sz w:val="16"/>
          <w:szCs w:val="16"/>
        </w:rPr>
        <w:t>Source: National Bureau of Statistics, NBK forecasts</w:t>
      </w:r>
    </w:p>
    <w:p w:rsidR="00C00F58" w:rsidRDefault="00C00F58" w:rsidP="00D025FC">
      <w:pPr>
        <w:bidi w:val="0"/>
        <w:spacing w:line="264" w:lineRule="auto"/>
        <w:jc w:val="both"/>
        <w:rPr>
          <w:rFonts w:ascii="Univers" w:hAnsi="Univers"/>
          <w:szCs w:val="20"/>
          <w:lang w:eastAsia="en-US"/>
        </w:rPr>
      </w:pPr>
    </w:p>
    <w:p w:rsidR="00271C7F" w:rsidRPr="00CC504F" w:rsidRDefault="00271C7F" w:rsidP="0029367E">
      <w:pPr>
        <w:bidi w:val="0"/>
        <w:spacing w:line="264" w:lineRule="auto"/>
        <w:jc w:val="both"/>
        <w:rPr>
          <w:rFonts w:ascii="Univers" w:hAnsi="Univers"/>
          <w:szCs w:val="20"/>
          <w:lang w:eastAsia="en-US"/>
        </w:rPr>
      </w:pPr>
      <w:r>
        <w:rPr>
          <w:rFonts w:ascii="Univers" w:hAnsi="Univers"/>
          <w:szCs w:val="20"/>
        </w:rPr>
        <w:t xml:space="preserve">IMF data suggests that the consolidated UAE budget was pushed into deficit in 2009 and 2010 – a cumulative AED 153 bn ($42 bn) – partly on the back of financial support provided to corporates and banks. Financing is thought to have come from a combination of asset sales, debt issuance and the government’s massive financial reserves. We see the budget returning to comfortable surplus in 2011 and 2012, in the range of 5% of GDP if </w:t>
      </w:r>
      <w:r w:rsidRPr="00CC504F">
        <w:rPr>
          <w:rFonts w:ascii="Univers" w:hAnsi="Univers"/>
          <w:szCs w:val="20"/>
        </w:rPr>
        <w:t>profits from state oil company ADNOC are included</w:t>
      </w:r>
      <w:r w:rsidR="0029367E">
        <w:rPr>
          <w:rFonts w:ascii="Univers" w:hAnsi="Univers"/>
          <w:szCs w:val="20"/>
        </w:rPr>
        <w:t xml:space="preserve">. </w:t>
      </w:r>
      <w:r>
        <w:rPr>
          <w:rFonts w:ascii="Univers" w:hAnsi="Univers"/>
          <w:szCs w:val="20"/>
          <w:lang w:eastAsia="en-US"/>
        </w:rPr>
        <w:t xml:space="preserve">This is based upon very modest spending growth (all from Abu Dhabi) </w:t>
      </w:r>
      <w:r w:rsidRPr="00AC353A">
        <w:rPr>
          <w:rFonts w:ascii="Univers" w:hAnsi="Univers"/>
          <w:szCs w:val="20"/>
          <w:lang w:eastAsia="en-US"/>
        </w:rPr>
        <w:t xml:space="preserve">and oil prices of around $110 </w:t>
      </w:r>
      <w:proofErr w:type="gramStart"/>
      <w:r w:rsidRPr="00AC353A">
        <w:rPr>
          <w:rFonts w:ascii="Univers" w:hAnsi="Univers"/>
          <w:szCs w:val="20"/>
          <w:lang w:eastAsia="en-US"/>
        </w:rPr>
        <w:t>pb</w:t>
      </w:r>
      <w:proofErr w:type="gramEnd"/>
      <w:r w:rsidRPr="00AC353A">
        <w:rPr>
          <w:rFonts w:ascii="Univers" w:hAnsi="Univers"/>
          <w:szCs w:val="20"/>
          <w:lang w:eastAsia="en-US"/>
        </w:rPr>
        <w:t xml:space="preserve"> in both 2011 and 2012, which generates a surge in hydrocarbon revenues in 2011. The current account should see even larger surpluses. </w:t>
      </w:r>
    </w:p>
    <w:p w:rsidR="00C00F58" w:rsidRDefault="00C00F58" w:rsidP="00C00F58">
      <w:pPr>
        <w:bidi w:val="0"/>
        <w:spacing w:line="264" w:lineRule="auto"/>
        <w:jc w:val="both"/>
        <w:rPr>
          <w:rFonts w:ascii="Univers" w:hAnsi="Univers"/>
          <w:szCs w:val="20"/>
          <w:lang w:eastAsia="en-US"/>
        </w:rPr>
      </w:pPr>
    </w:p>
    <w:p w:rsidR="0047295F" w:rsidRPr="00C00F58" w:rsidRDefault="00CC64EB" w:rsidP="00C00F58">
      <w:pPr>
        <w:bidi w:val="0"/>
        <w:spacing w:line="264" w:lineRule="auto"/>
        <w:jc w:val="both"/>
        <w:rPr>
          <w:rFonts w:ascii="Univers" w:hAnsi="Univers"/>
          <w:szCs w:val="20"/>
          <w:lang w:eastAsia="en-US"/>
        </w:rPr>
      </w:pPr>
      <w:r>
        <w:rPr>
          <w:rFonts w:ascii="Univers" w:hAnsi="Univers"/>
          <w:szCs w:val="20"/>
          <w:lang w:eastAsia="en-US"/>
        </w:rPr>
        <w:t xml:space="preserve"> </w:t>
      </w:r>
    </w:p>
    <w:p w:rsidR="00D025FC" w:rsidRPr="008B6F89" w:rsidRDefault="00D025FC" w:rsidP="0047295F">
      <w:pPr>
        <w:bidi w:val="0"/>
        <w:jc w:val="both"/>
        <w:rPr>
          <w:rFonts w:ascii="Univers" w:hAnsi="Univers"/>
          <w:sz w:val="16"/>
          <w:szCs w:val="16"/>
        </w:rPr>
      </w:pPr>
      <w:r w:rsidRPr="008B6F89">
        <w:rPr>
          <w:rFonts w:ascii="Univers" w:hAnsi="Univers"/>
          <w:sz w:val="16"/>
          <w:szCs w:val="16"/>
        </w:rPr>
        <w:t xml:space="preserve">Note: Full country-by-country analysis and forecasts for the GCC region appears in our latest GCC Outlook publication, which can be found on our website at </w:t>
      </w:r>
      <w:hyperlink r:id="rId10" w:history="1">
        <w:r w:rsidRPr="008B6F89">
          <w:rPr>
            <w:rStyle w:val="Hyperlink"/>
            <w:rFonts w:ascii="Univers" w:hAnsi="Univers"/>
            <w:sz w:val="16"/>
            <w:szCs w:val="16"/>
          </w:rPr>
          <w:t>http://www.nbk.com</w:t>
        </w:r>
      </w:hyperlink>
    </w:p>
    <w:sectPr w:rsidR="00D025FC" w:rsidRPr="008B6F89" w:rsidSect="00C36A2C">
      <w:headerReference w:type="default" r:id="rId11"/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35A" w:rsidRDefault="00CB535A">
      <w:r>
        <w:separator/>
      </w:r>
    </w:p>
  </w:endnote>
  <w:endnote w:type="continuationSeparator" w:id="0">
    <w:p w:rsidR="00CB535A" w:rsidRDefault="00CB5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wNB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35A" w:rsidRDefault="00CB535A">
      <w:r>
        <w:separator/>
      </w:r>
    </w:p>
  </w:footnote>
  <w:footnote w:type="continuationSeparator" w:id="0">
    <w:p w:rsidR="00CB535A" w:rsidRDefault="00CB5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35A" w:rsidRPr="008733D4" w:rsidRDefault="00CB535A" w:rsidP="00D950C7">
    <w:pPr>
      <w:tabs>
        <w:tab w:val="right" w:pos="10350"/>
      </w:tabs>
      <w:bidi w:val="0"/>
      <w:rPr>
        <w:rFonts w:ascii="NewNBK" w:hAnsi="NewNBK" w:cs="NewNBK"/>
        <w:color w:val="004B90"/>
        <w:sz w:val="23"/>
        <w:szCs w:val="23"/>
        <w:lang w:eastAsia="en-US"/>
      </w:rPr>
    </w:pPr>
    <w:r>
      <w:rPr>
        <w:rFonts w:ascii="Univers" w:hAnsi="Univers" w:cs="NewNBK"/>
        <w:b/>
        <w:bCs/>
        <w:noProof/>
        <w:color w:val="004B90"/>
        <w:sz w:val="23"/>
        <w:szCs w:val="23"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0</wp:posOffset>
          </wp:positionV>
          <wp:extent cx="831850" cy="384175"/>
          <wp:effectExtent l="19050" t="0" r="635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384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33D4">
      <w:rPr>
        <w:rFonts w:ascii="Univers" w:hAnsi="Univers" w:cs="NewNBK"/>
        <w:b/>
        <w:bCs/>
        <w:color w:val="004B90"/>
        <w:sz w:val="23"/>
        <w:szCs w:val="23"/>
        <w:lang w:eastAsia="en-US"/>
      </w:rPr>
      <w:t xml:space="preserve">GCC </w:t>
    </w:r>
    <w:r w:rsidRPr="00F07D4E">
      <w:rPr>
        <w:rFonts w:ascii="Univers" w:hAnsi="Univers" w:cs="NewNBK"/>
        <w:b/>
        <w:bCs/>
        <w:color w:val="004B90"/>
        <w:sz w:val="23"/>
        <w:szCs w:val="23"/>
        <w:lang w:eastAsia="en-US"/>
      </w:rPr>
      <w:t xml:space="preserve">Brief </w:t>
    </w:r>
    <w:r w:rsidRPr="00F07D4E">
      <w:rPr>
        <w:rFonts w:ascii="Univers" w:hAnsi="Univers" w:cs="Times New Roman"/>
        <w:b/>
        <w:bCs/>
        <w:color w:val="004B90"/>
        <w:sz w:val="23"/>
        <w:szCs w:val="23"/>
        <w:lang w:eastAsia="en-US"/>
      </w:rPr>
      <w:t xml:space="preserve">| </w:t>
    </w:r>
    <w:r w:rsidR="002144BE" w:rsidRPr="002144BE">
      <w:rPr>
        <w:rFonts w:ascii="Univers" w:hAnsi="Univers" w:cs="Times New Roman" w:hint="cs"/>
        <w:b/>
        <w:bCs/>
        <w:color w:val="808080"/>
        <w:sz w:val="23"/>
        <w:szCs w:val="23"/>
        <w:rtl/>
        <w:lang w:eastAsia="en-US"/>
      </w:rPr>
      <w:t>2</w:t>
    </w:r>
    <w:r w:rsidR="00D950C7">
      <w:rPr>
        <w:rFonts w:ascii="Univers" w:hAnsi="Univers" w:cs="Times New Roman"/>
        <w:b/>
        <w:bCs/>
        <w:color w:val="808080"/>
        <w:sz w:val="23"/>
        <w:szCs w:val="23"/>
        <w:lang w:eastAsia="en-US"/>
      </w:rPr>
      <w:t>2</w:t>
    </w:r>
    <w:r w:rsidR="002144BE" w:rsidRPr="002144BE">
      <w:rPr>
        <w:rFonts w:ascii="Univers" w:hAnsi="Univers" w:cs="Times New Roman"/>
        <w:b/>
        <w:bCs/>
        <w:color w:val="808080"/>
        <w:sz w:val="23"/>
        <w:szCs w:val="23"/>
        <w:lang w:eastAsia="en-US"/>
      </w:rPr>
      <w:t xml:space="preserve"> </w:t>
    </w:r>
    <w:r w:rsidRPr="002144BE">
      <w:rPr>
        <w:rFonts w:ascii="Univers" w:hAnsi="Univers" w:cs="Times New Roman"/>
        <w:b/>
        <w:bCs/>
        <w:color w:val="808080"/>
        <w:sz w:val="23"/>
        <w:szCs w:val="23"/>
        <w:lang w:eastAsia="en-US"/>
      </w:rPr>
      <w:t>F</w:t>
    </w:r>
    <w:r>
      <w:rPr>
        <w:rFonts w:ascii="Univers" w:hAnsi="Univers" w:cs="Times New Roman"/>
        <w:b/>
        <w:bCs/>
        <w:color w:val="808080"/>
        <w:sz w:val="23"/>
        <w:szCs w:val="23"/>
        <w:lang w:eastAsia="en-US"/>
      </w:rPr>
      <w:t>ebruary, 2012</w:t>
    </w:r>
  </w:p>
  <w:p w:rsidR="00CB535A" w:rsidRDefault="00CB535A" w:rsidP="00BA10D6">
    <w:pPr>
      <w:pStyle w:val="Header"/>
      <w:ind w:left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CE6"/>
    <w:multiLevelType w:val="hybridMultilevel"/>
    <w:tmpl w:val="66E4C6EC"/>
    <w:lvl w:ilvl="0" w:tplc="6380A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u w:color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551207"/>
    <w:multiLevelType w:val="hybridMultilevel"/>
    <w:tmpl w:val="B7A6F7D0"/>
    <w:lvl w:ilvl="0" w:tplc="160E85D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804F7"/>
    <w:multiLevelType w:val="hybridMultilevel"/>
    <w:tmpl w:val="30CEB2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3153D"/>
    <w:multiLevelType w:val="hybridMultilevel"/>
    <w:tmpl w:val="12A48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43292"/>
    <w:multiLevelType w:val="hybridMultilevel"/>
    <w:tmpl w:val="BCB644CA"/>
    <w:lvl w:ilvl="0" w:tplc="465EDEE4">
      <w:start w:val="1"/>
      <w:numFmt w:val="lowerRoman"/>
      <w:lvlText w:val="%1)"/>
      <w:lvlJc w:val="left"/>
      <w:pPr>
        <w:ind w:left="144" w:hanging="144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E95830"/>
    <w:multiLevelType w:val="hybridMultilevel"/>
    <w:tmpl w:val="EE468B10"/>
    <w:lvl w:ilvl="0" w:tplc="E272C626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>
    <w:nsid w:val="2CAA43B8"/>
    <w:multiLevelType w:val="hybridMultilevel"/>
    <w:tmpl w:val="27F8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B53F4"/>
    <w:multiLevelType w:val="hybridMultilevel"/>
    <w:tmpl w:val="1690DAE0"/>
    <w:lvl w:ilvl="0" w:tplc="64020B40">
      <w:start w:val="1"/>
      <w:numFmt w:val="bullet"/>
      <w:lvlText w:val="-"/>
      <w:lvlJc w:val="left"/>
      <w:pPr>
        <w:ind w:left="405" w:hanging="360"/>
      </w:pPr>
      <w:rPr>
        <w:rFonts w:ascii="Univers" w:eastAsia="Times New Roman" w:hAnsi="Univer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82DAA"/>
    <w:multiLevelType w:val="hybridMultilevel"/>
    <w:tmpl w:val="16981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B20B1"/>
    <w:multiLevelType w:val="hybridMultilevel"/>
    <w:tmpl w:val="C4129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50C5D"/>
    <w:multiLevelType w:val="hybridMultilevel"/>
    <w:tmpl w:val="B6C8BFC6"/>
    <w:lvl w:ilvl="0" w:tplc="83143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8"/>
        <w:szCs w:val="28"/>
      </w:rPr>
    </w:lvl>
    <w:lvl w:ilvl="1" w:tplc="8314347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574487A"/>
    <w:multiLevelType w:val="hybridMultilevel"/>
    <w:tmpl w:val="CE9A8142"/>
    <w:lvl w:ilvl="0" w:tplc="3EF6C8DA">
      <w:start w:val="1"/>
      <w:numFmt w:val="lowerRoman"/>
      <w:lvlText w:val="%1)"/>
      <w:lvlJc w:val="left"/>
      <w:pPr>
        <w:ind w:left="144" w:hanging="144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AF150D"/>
    <w:multiLevelType w:val="hybridMultilevel"/>
    <w:tmpl w:val="4CF22D50"/>
    <w:lvl w:ilvl="0" w:tplc="4E2C8218">
      <w:numFmt w:val="bullet"/>
      <w:lvlText w:val="•"/>
      <w:lvlJc w:val="left"/>
      <w:pPr>
        <w:ind w:left="1080" w:hanging="720"/>
      </w:pPr>
      <w:rPr>
        <w:rFonts w:ascii="Univers" w:eastAsia="Times New Roman" w:hAnsi="Univers" w:cs="Traditional Arab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D1710"/>
    <w:multiLevelType w:val="hybridMultilevel"/>
    <w:tmpl w:val="05AC18B0"/>
    <w:lvl w:ilvl="0" w:tplc="9698E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B620A7"/>
    <w:multiLevelType w:val="hybridMultilevel"/>
    <w:tmpl w:val="A912BA24"/>
    <w:lvl w:ilvl="0" w:tplc="64020B40">
      <w:start w:val="1"/>
      <w:numFmt w:val="bullet"/>
      <w:lvlText w:val="-"/>
      <w:lvlJc w:val="left"/>
      <w:pPr>
        <w:ind w:left="405" w:hanging="360"/>
      </w:pPr>
      <w:rPr>
        <w:rFonts w:ascii="Univers" w:eastAsia="Times New Roman" w:hAnsi="Univer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0B78BC"/>
    <w:multiLevelType w:val="hybridMultilevel"/>
    <w:tmpl w:val="96DE5700"/>
    <w:lvl w:ilvl="0" w:tplc="CF08EA6A">
      <w:numFmt w:val="bullet"/>
      <w:lvlText w:val="-"/>
      <w:lvlJc w:val="left"/>
      <w:pPr>
        <w:ind w:left="420" w:hanging="360"/>
      </w:pPr>
      <w:rPr>
        <w:rFonts w:ascii="Univers" w:eastAsia="Times New Roman" w:hAnsi="Univers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568905D6"/>
    <w:multiLevelType w:val="hybridMultilevel"/>
    <w:tmpl w:val="E0666DB6"/>
    <w:lvl w:ilvl="0" w:tplc="64020B40">
      <w:start w:val="1"/>
      <w:numFmt w:val="bullet"/>
      <w:lvlText w:val="-"/>
      <w:lvlJc w:val="left"/>
      <w:pPr>
        <w:ind w:left="405" w:hanging="360"/>
      </w:pPr>
      <w:rPr>
        <w:rFonts w:ascii="Univers" w:eastAsia="Times New Roman" w:hAnsi="Univers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60740604"/>
    <w:multiLevelType w:val="hybridMultilevel"/>
    <w:tmpl w:val="C5D867CE"/>
    <w:lvl w:ilvl="0" w:tplc="7A1E33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53F7F"/>
    <w:multiLevelType w:val="hybridMultilevel"/>
    <w:tmpl w:val="9336E66E"/>
    <w:lvl w:ilvl="0" w:tplc="5FCECF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sz w:val="24"/>
        <w:u w:color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B33877"/>
    <w:multiLevelType w:val="hybridMultilevel"/>
    <w:tmpl w:val="6C067FCC"/>
    <w:lvl w:ilvl="0" w:tplc="513CF3B8">
      <w:start w:val="11"/>
      <w:numFmt w:val="bullet"/>
      <w:lvlText w:val="-"/>
      <w:lvlJc w:val="left"/>
      <w:pPr>
        <w:ind w:left="720" w:hanging="360"/>
      </w:pPr>
      <w:rPr>
        <w:rFonts w:ascii="Univers" w:eastAsia="Times New Roman" w:hAnsi="Univers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B9570D"/>
    <w:multiLevelType w:val="multilevel"/>
    <w:tmpl w:val="720E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u w:color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436D7A"/>
    <w:multiLevelType w:val="hybridMultilevel"/>
    <w:tmpl w:val="416C5E42"/>
    <w:lvl w:ilvl="0" w:tplc="160E85D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453AD7"/>
    <w:multiLevelType w:val="hybridMultilevel"/>
    <w:tmpl w:val="018A7F24"/>
    <w:lvl w:ilvl="0" w:tplc="13BECB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695C4E"/>
    <w:multiLevelType w:val="hybridMultilevel"/>
    <w:tmpl w:val="E0A4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05ECC"/>
    <w:multiLevelType w:val="multilevel"/>
    <w:tmpl w:val="66E4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u w:color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C96E3C"/>
    <w:multiLevelType w:val="hybridMultilevel"/>
    <w:tmpl w:val="720E11F0"/>
    <w:lvl w:ilvl="0" w:tplc="6380A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u w:color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5"/>
  </w:num>
  <w:num w:numId="4">
    <w:abstractNumId w:val="20"/>
  </w:num>
  <w:num w:numId="5">
    <w:abstractNumId w:val="18"/>
  </w:num>
  <w:num w:numId="6">
    <w:abstractNumId w:val="10"/>
  </w:num>
  <w:num w:numId="7">
    <w:abstractNumId w:val="8"/>
  </w:num>
  <w:num w:numId="8">
    <w:abstractNumId w:val="16"/>
  </w:num>
  <w:num w:numId="9">
    <w:abstractNumId w:val="14"/>
  </w:num>
  <w:num w:numId="10">
    <w:abstractNumId w:val="7"/>
  </w:num>
  <w:num w:numId="11">
    <w:abstractNumId w:val="22"/>
  </w:num>
  <w:num w:numId="12">
    <w:abstractNumId w:val="17"/>
  </w:num>
  <w:num w:numId="13">
    <w:abstractNumId w:val="2"/>
  </w:num>
  <w:num w:numId="14">
    <w:abstractNumId w:val="19"/>
  </w:num>
  <w:num w:numId="15">
    <w:abstractNumId w:val="9"/>
  </w:num>
  <w:num w:numId="16">
    <w:abstractNumId w:val="5"/>
  </w:num>
  <w:num w:numId="17">
    <w:abstractNumId w:val="23"/>
  </w:num>
  <w:num w:numId="18">
    <w:abstractNumId w:val="13"/>
  </w:num>
  <w:num w:numId="19">
    <w:abstractNumId w:val="6"/>
  </w:num>
  <w:num w:numId="20">
    <w:abstractNumId w:val="11"/>
  </w:num>
  <w:num w:numId="21">
    <w:abstractNumId w:val="4"/>
  </w:num>
  <w:num w:numId="22">
    <w:abstractNumId w:val="3"/>
  </w:num>
  <w:num w:numId="23">
    <w:abstractNumId w:val="12"/>
  </w:num>
  <w:num w:numId="24">
    <w:abstractNumId w:val="15"/>
  </w:num>
  <w:num w:numId="25">
    <w:abstractNumId w:val="21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20"/>
  <w:characterSpacingControl w:val="doNotCompress"/>
  <w:hdrShapeDefaults>
    <o:shapedefaults v:ext="edit" spidmax="5939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APWAFVersion" w:val="5.0"/>
  </w:docVars>
  <w:rsids>
    <w:rsidRoot w:val="00C2290C"/>
    <w:rsid w:val="00000846"/>
    <w:rsid w:val="00000F14"/>
    <w:rsid w:val="000012E6"/>
    <w:rsid w:val="00001F38"/>
    <w:rsid w:val="00005E70"/>
    <w:rsid w:val="00005F74"/>
    <w:rsid w:val="00007CCD"/>
    <w:rsid w:val="0001156C"/>
    <w:rsid w:val="0001163C"/>
    <w:rsid w:val="00016E5C"/>
    <w:rsid w:val="00022C11"/>
    <w:rsid w:val="00032539"/>
    <w:rsid w:val="00033203"/>
    <w:rsid w:val="00041E9E"/>
    <w:rsid w:val="00042DC5"/>
    <w:rsid w:val="000469CE"/>
    <w:rsid w:val="00051115"/>
    <w:rsid w:val="00052E7F"/>
    <w:rsid w:val="000574D4"/>
    <w:rsid w:val="000600A0"/>
    <w:rsid w:val="00062B30"/>
    <w:rsid w:val="0007090B"/>
    <w:rsid w:val="00076B18"/>
    <w:rsid w:val="00077C21"/>
    <w:rsid w:val="00077E02"/>
    <w:rsid w:val="00080DE3"/>
    <w:rsid w:val="00081F0A"/>
    <w:rsid w:val="0008657A"/>
    <w:rsid w:val="000A0E83"/>
    <w:rsid w:val="000A4C4C"/>
    <w:rsid w:val="000A7A80"/>
    <w:rsid w:val="000A7B8E"/>
    <w:rsid w:val="000A7C6A"/>
    <w:rsid w:val="000B3BEF"/>
    <w:rsid w:val="000B52BC"/>
    <w:rsid w:val="000B5E7A"/>
    <w:rsid w:val="000C36B3"/>
    <w:rsid w:val="000C55B9"/>
    <w:rsid w:val="000C5717"/>
    <w:rsid w:val="000D2F8C"/>
    <w:rsid w:val="000D6DB4"/>
    <w:rsid w:val="000D7590"/>
    <w:rsid w:val="000E099D"/>
    <w:rsid w:val="000E1F42"/>
    <w:rsid w:val="000E3E91"/>
    <w:rsid w:val="000F2081"/>
    <w:rsid w:val="000F42C0"/>
    <w:rsid w:val="00101DD8"/>
    <w:rsid w:val="001021BA"/>
    <w:rsid w:val="001043F4"/>
    <w:rsid w:val="00105804"/>
    <w:rsid w:val="00107D80"/>
    <w:rsid w:val="00111A02"/>
    <w:rsid w:val="00111C9A"/>
    <w:rsid w:val="001156C3"/>
    <w:rsid w:val="00116067"/>
    <w:rsid w:val="0012108B"/>
    <w:rsid w:val="0012314C"/>
    <w:rsid w:val="0013165A"/>
    <w:rsid w:val="00133BE3"/>
    <w:rsid w:val="001343C6"/>
    <w:rsid w:val="001352A9"/>
    <w:rsid w:val="00142A60"/>
    <w:rsid w:val="0014309B"/>
    <w:rsid w:val="00145578"/>
    <w:rsid w:val="00146D41"/>
    <w:rsid w:val="00151976"/>
    <w:rsid w:val="0016037F"/>
    <w:rsid w:val="00160CB8"/>
    <w:rsid w:val="00167709"/>
    <w:rsid w:val="001707AE"/>
    <w:rsid w:val="00171202"/>
    <w:rsid w:val="00173428"/>
    <w:rsid w:val="00173964"/>
    <w:rsid w:val="00175320"/>
    <w:rsid w:val="001819E2"/>
    <w:rsid w:val="00182340"/>
    <w:rsid w:val="00184494"/>
    <w:rsid w:val="00186727"/>
    <w:rsid w:val="00187CD5"/>
    <w:rsid w:val="0019231E"/>
    <w:rsid w:val="00197167"/>
    <w:rsid w:val="00197CAA"/>
    <w:rsid w:val="001A07AE"/>
    <w:rsid w:val="001A222F"/>
    <w:rsid w:val="001A2442"/>
    <w:rsid w:val="001A5788"/>
    <w:rsid w:val="001B2341"/>
    <w:rsid w:val="001C307F"/>
    <w:rsid w:val="001D42E8"/>
    <w:rsid w:val="001D5A18"/>
    <w:rsid w:val="001D5E8F"/>
    <w:rsid w:val="001D6625"/>
    <w:rsid w:val="001E64F2"/>
    <w:rsid w:val="001E774A"/>
    <w:rsid w:val="001F16E6"/>
    <w:rsid w:val="001F2603"/>
    <w:rsid w:val="001F67FC"/>
    <w:rsid w:val="001F738A"/>
    <w:rsid w:val="00201DD8"/>
    <w:rsid w:val="00204E1A"/>
    <w:rsid w:val="0020558A"/>
    <w:rsid w:val="00206C11"/>
    <w:rsid w:val="00210A8E"/>
    <w:rsid w:val="00212209"/>
    <w:rsid w:val="00214145"/>
    <w:rsid w:val="002144BE"/>
    <w:rsid w:val="00220C9D"/>
    <w:rsid w:val="00220D3E"/>
    <w:rsid w:val="002247D5"/>
    <w:rsid w:val="0022525E"/>
    <w:rsid w:val="00230432"/>
    <w:rsid w:val="0023763A"/>
    <w:rsid w:val="00237F3A"/>
    <w:rsid w:val="00240272"/>
    <w:rsid w:val="00241DA6"/>
    <w:rsid w:val="002422E0"/>
    <w:rsid w:val="002453F3"/>
    <w:rsid w:val="002454F0"/>
    <w:rsid w:val="00260586"/>
    <w:rsid w:val="0026084E"/>
    <w:rsid w:val="002609A7"/>
    <w:rsid w:val="002640BB"/>
    <w:rsid w:val="002649E1"/>
    <w:rsid w:val="00265082"/>
    <w:rsid w:val="0026557B"/>
    <w:rsid w:val="00270159"/>
    <w:rsid w:val="00271B11"/>
    <w:rsid w:val="00271C7F"/>
    <w:rsid w:val="002723AA"/>
    <w:rsid w:val="00275220"/>
    <w:rsid w:val="00275F99"/>
    <w:rsid w:val="002767C7"/>
    <w:rsid w:val="00276CBA"/>
    <w:rsid w:val="00281D4E"/>
    <w:rsid w:val="00282BEF"/>
    <w:rsid w:val="00285D59"/>
    <w:rsid w:val="002922D6"/>
    <w:rsid w:val="002923E9"/>
    <w:rsid w:val="0029367E"/>
    <w:rsid w:val="00297B75"/>
    <w:rsid w:val="00297C51"/>
    <w:rsid w:val="002A18D2"/>
    <w:rsid w:val="002A1EE9"/>
    <w:rsid w:val="002A2023"/>
    <w:rsid w:val="002A21BF"/>
    <w:rsid w:val="002A34D6"/>
    <w:rsid w:val="002A5A46"/>
    <w:rsid w:val="002A629A"/>
    <w:rsid w:val="002A7C22"/>
    <w:rsid w:val="002B13BB"/>
    <w:rsid w:val="002B249F"/>
    <w:rsid w:val="002B32F2"/>
    <w:rsid w:val="002B688A"/>
    <w:rsid w:val="002C0C4F"/>
    <w:rsid w:val="002C1EEF"/>
    <w:rsid w:val="002C306C"/>
    <w:rsid w:val="002C5CCC"/>
    <w:rsid w:val="002C6B15"/>
    <w:rsid w:val="002C756F"/>
    <w:rsid w:val="002D298C"/>
    <w:rsid w:val="002D4766"/>
    <w:rsid w:val="002F09B1"/>
    <w:rsid w:val="002F14DB"/>
    <w:rsid w:val="002F2252"/>
    <w:rsid w:val="002F2DF9"/>
    <w:rsid w:val="002F3C7D"/>
    <w:rsid w:val="002F4807"/>
    <w:rsid w:val="002F6B2D"/>
    <w:rsid w:val="00300BAD"/>
    <w:rsid w:val="003034FB"/>
    <w:rsid w:val="003050B1"/>
    <w:rsid w:val="0030679B"/>
    <w:rsid w:val="0031210A"/>
    <w:rsid w:val="003145BD"/>
    <w:rsid w:val="0032066D"/>
    <w:rsid w:val="00321334"/>
    <w:rsid w:val="00322DCC"/>
    <w:rsid w:val="00323BD6"/>
    <w:rsid w:val="00325C3A"/>
    <w:rsid w:val="00326FCB"/>
    <w:rsid w:val="003308FD"/>
    <w:rsid w:val="0033154F"/>
    <w:rsid w:val="003356AA"/>
    <w:rsid w:val="00340FC5"/>
    <w:rsid w:val="00343609"/>
    <w:rsid w:val="0034378E"/>
    <w:rsid w:val="00350397"/>
    <w:rsid w:val="0035222C"/>
    <w:rsid w:val="003546A4"/>
    <w:rsid w:val="003553AC"/>
    <w:rsid w:val="00355AFF"/>
    <w:rsid w:val="00356CBB"/>
    <w:rsid w:val="00366CEE"/>
    <w:rsid w:val="00367F02"/>
    <w:rsid w:val="00371994"/>
    <w:rsid w:val="003720BE"/>
    <w:rsid w:val="0037684D"/>
    <w:rsid w:val="003822DF"/>
    <w:rsid w:val="0038645F"/>
    <w:rsid w:val="00392B55"/>
    <w:rsid w:val="00393E70"/>
    <w:rsid w:val="0039483E"/>
    <w:rsid w:val="003A14D8"/>
    <w:rsid w:val="003A41F3"/>
    <w:rsid w:val="003B09A7"/>
    <w:rsid w:val="003C1F97"/>
    <w:rsid w:val="003C38BD"/>
    <w:rsid w:val="003C3979"/>
    <w:rsid w:val="003C3AC0"/>
    <w:rsid w:val="003C4A4E"/>
    <w:rsid w:val="003C590B"/>
    <w:rsid w:val="003C7EA7"/>
    <w:rsid w:val="003D071A"/>
    <w:rsid w:val="003D2B9E"/>
    <w:rsid w:val="003D4069"/>
    <w:rsid w:val="003E09B2"/>
    <w:rsid w:val="003E0F1C"/>
    <w:rsid w:val="003E153D"/>
    <w:rsid w:val="003E487C"/>
    <w:rsid w:val="003E573F"/>
    <w:rsid w:val="003E5D24"/>
    <w:rsid w:val="003F365F"/>
    <w:rsid w:val="003F378E"/>
    <w:rsid w:val="003F6783"/>
    <w:rsid w:val="003F7F16"/>
    <w:rsid w:val="00400A21"/>
    <w:rsid w:val="00400AA5"/>
    <w:rsid w:val="004020A7"/>
    <w:rsid w:val="004048D6"/>
    <w:rsid w:val="0040510A"/>
    <w:rsid w:val="00405629"/>
    <w:rsid w:val="00405B61"/>
    <w:rsid w:val="004065F1"/>
    <w:rsid w:val="0041050C"/>
    <w:rsid w:val="00412AA4"/>
    <w:rsid w:val="00425230"/>
    <w:rsid w:val="00426019"/>
    <w:rsid w:val="00432252"/>
    <w:rsid w:val="00450CB5"/>
    <w:rsid w:val="00450FB3"/>
    <w:rsid w:val="004543EC"/>
    <w:rsid w:val="004576F3"/>
    <w:rsid w:val="0046031F"/>
    <w:rsid w:val="0046218C"/>
    <w:rsid w:val="0046386B"/>
    <w:rsid w:val="0046674C"/>
    <w:rsid w:val="00466BC1"/>
    <w:rsid w:val="0047295F"/>
    <w:rsid w:val="00473378"/>
    <w:rsid w:val="00474E84"/>
    <w:rsid w:val="004753A5"/>
    <w:rsid w:val="004767BE"/>
    <w:rsid w:val="004770A3"/>
    <w:rsid w:val="00494D34"/>
    <w:rsid w:val="004A376E"/>
    <w:rsid w:val="004A51C5"/>
    <w:rsid w:val="004B3968"/>
    <w:rsid w:val="004B5E98"/>
    <w:rsid w:val="004B6B73"/>
    <w:rsid w:val="004C0797"/>
    <w:rsid w:val="004C1891"/>
    <w:rsid w:val="004C25BC"/>
    <w:rsid w:val="004D25B1"/>
    <w:rsid w:val="004D27DF"/>
    <w:rsid w:val="004E2267"/>
    <w:rsid w:val="004E4F87"/>
    <w:rsid w:val="004E58B1"/>
    <w:rsid w:val="004E5DA8"/>
    <w:rsid w:val="004E7777"/>
    <w:rsid w:val="004F1A0D"/>
    <w:rsid w:val="004F3F5D"/>
    <w:rsid w:val="004F415B"/>
    <w:rsid w:val="004F4453"/>
    <w:rsid w:val="004F466D"/>
    <w:rsid w:val="00500356"/>
    <w:rsid w:val="005015DB"/>
    <w:rsid w:val="0050187F"/>
    <w:rsid w:val="00502CD7"/>
    <w:rsid w:val="00504547"/>
    <w:rsid w:val="00513601"/>
    <w:rsid w:val="00514BCE"/>
    <w:rsid w:val="00515D82"/>
    <w:rsid w:val="00516541"/>
    <w:rsid w:val="0051781A"/>
    <w:rsid w:val="00522178"/>
    <w:rsid w:val="00522F7C"/>
    <w:rsid w:val="00525FBC"/>
    <w:rsid w:val="005269CD"/>
    <w:rsid w:val="00526B76"/>
    <w:rsid w:val="00530991"/>
    <w:rsid w:val="00532EEB"/>
    <w:rsid w:val="00534243"/>
    <w:rsid w:val="005344ED"/>
    <w:rsid w:val="00535017"/>
    <w:rsid w:val="0054565B"/>
    <w:rsid w:val="00546526"/>
    <w:rsid w:val="005514FD"/>
    <w:rsid w:val="00552E42"/>
    <w:rsid w:val="0055341E"/>
    <w:rsid w:val="00553F7F"/>
    <w:rsid w:val="005548CB"/>
    <w:rsid w:val="00555701"/>
    <w:rsid w:val="00555B3D"/>
    <w:rsid w:val="00557265"/>
    <w:rsid w:val="0056062C"/>
    <w:rsid w:val="0056300E"/>
    <w:rsid w:val="00565713"/>
    <w:rsid w:val="00571FD3"/>
    <w:rsid w:val="00575AFF"/>
    <w:rsid w:val="00583481"/>
    <w:rsid w:val="00583E88"/>
    <w:rsid w:val="005851C1"/>
    <w:rsid w:val="005935D4"/>
    <w:rsid w:val="00596869"/>
    <w:rsid w:val="005A1508"/>
    <w:rsid w:val="005A3940"/>
    <w:rsid w:val="005B17F9"/>
    <w:rsid w:val="005B73DE"/>
    <w:rsid w:val="005C3FDD"/>
    <w:rsid w:val="005C4490"/>
    <w:rsid w:val="005C6296"/>
    <w:rsid w:val="005D445C"/>
    <w:rsid w:val="005D7E3F"/>
    <w:rsid w:val="005E707E"/>
    <w:rsid w:val="005F3D08"/>
    <w:rsid w:val="005F6CE2"/>
    <w:rsid w:val="00601370"/>
    <w:rsid w:val="00604EA2"/>
    <w:rsid w:val="00605A92"/>
    <w:rsid w:val="00606DED"/>
    <w:rsid w:val="006076F9"/>
    <w:rsid w:val="00611A1A"/>
    <w:rsid w:val="00612F53"/>
    <w:rsid w:val="00613BF1"/>
    <w:rsid w:val="006143AE"/>
    <w:rsid w:val="0062791D"/>
    <w:rsid w:val="00631817"/>
    <w:rsid w:val="006322ED"/>
    <w:rsid w:val="0063524D"/>
    <w:rsid w:val="006375A3"/>
    <w:rsid w:val="00637964"/>
    <w:rsid w:val="00640D0B"/>
    <w:rsid w:val="00643576"/>
    <w:rsid w:val="0064384A"/>
    <w:rsid w:val="00646941"/>
    <w:rsid w:val="00650154"/>
    <w:rsid w:val="00651D15"/>
    <w:rsid w:val="0065699B"/>
    <w:rsid w:val="00660CC4"/>
    <w:rsid w:val="00661365"/>
    <w:rsid w:val="00661A16"/>
    <w:rsid w:val="00666D5C"/>
    <w:rsid w:val="00667D19"/>
    <w:rsid w:val="00670299"/>
    <w:rsid w:val="0067190F"/>
    <w:rsid w:val="00673D85"/>
    <w:rsid w:val="00674AEF"/>
    <w:rsid w:val="00677148"/>
    <w:rsid w:val="00680844"/>
    <w:rsid w:val="006834E2"/>
    <w:rsid w:val="00683F79"/>
    <w:rsid w:val="00686506"/>
    <w:rsid w:val="00690693"/>
    <w:rsid w:val="00691388"/>
    <w:rsid w:val="006955B8"/>
    <w:rsid w:val="006959DD"/>
    <w:rsid w:val="006A3DE1"/>
    <w:rsid w:val="006A48B0"/>
    <w:rsid w:val="006A594A"/>
    <w:rsid w:val="006A7B67"/>
    <w:rsid w:val="006B17BD"/>
    <w:rsid w:val="006B3EF0"/>
    <w:rsid w:val="006B4AF3"/>
    <w:rsid w:val="006B4B10"/>
    <w:rsid w:val="006B5F53"/>
    <w:rsid w:val="006B6620"/>
    <w:rsid w:val="006B6DB0"/>
    <w:rsid w:val="006C1EE2"/>
    <w:rsid w:val="006D24EE"/>
    <w:rsid w:val="006D27FA"/>
    <w:rsid w:val="006D476E"/>
    <w:rsid w:val="006D60D9"/>
    <w:rsid w:val="006E532A"/>
    <w:rsid w:val="006E5D9A"/>
    <w:rsid w:val="006F032A"/>
    <w:rsid w:val="006F0F48"/>
    <w:rsid w:val="006F1619"/>
    <w:rsid w:val="006F7268"/>
    <w:rsid w:val="00702BE6"/>
    <w:rsid w:val="00702DAE"/>
    <w:rsid w:val="00706384"/>
    <w:rsid w:val="00706EDB"/>
    <w:rsid w:val="00710EDE"/>
    <w:rsid w:val="00715648"/>
    <w:rsid w:val="007217BE"/>
    <w:rsid w:val="00723D1E"/>
    <w:rsid w:val="00724964"/>
    <w:rsid w:val="00725376"/>
    <w:rsid w:val="007270B1"/>
    <w:rsid w:val="007306E6"/>
    <w:rsid w:val="007375EA"/>
    <w:rsid w:val="00743587"/>
    <w:rsid w:val="00744AE6"/>
    <w:rsid w:val="007470EB"/>
    <w:rsid w:val="007710F3"/>
    <w:rsid w:val="00776A9D"/>
    <w:rsid w:val="007774CB"/>
    <w:rsid w:val="00783316"/>
    <w:rsid w:val="00787A93"/>
    <w:rsid w:val="00792DF1"/>
    <w:rsid w:val="007930A7"/>
    <w:rsid w:val="00793B37"/>
    <w:rsid w:val="007B18C9"/>
    <w:rsid w:val="007B2B2A"/>
    <w:rsid w:val="007B6882"/>
    <w:rsid w:val="007B7A23"/>
    <w:rsid w:val="007C0A30"/>
    <w:rsid w:val="007C5836"/>
    <w:rsid w:val="007C657D"/>
    <w:rsid w:val="007D0E8D"/>
    <w:rsid w:val="007D3297"/>
    <w:rsid w:val="007D54AB"/>
    <w:rsid w:val="007E39FF"/>
    <w:rsid w:val="007E5397"/>
    <w:rsid w:val="007E6086"/>
    <w:rsid w:val="007E6EAC"/>
    <w:rsid w:val="007F04AC"/>
    <w:rsid w:val="007F28B1"/>
    <w:rsid w:val="007F2F97"/>
    <w:rsid w:val="007F53FD"/>
    <w:rsid w:val="00800227"/>
    <w:rsid w:val="008018B8"/>
    <w:rsid w:val="00803FD9"/>
    <w:rsid w:val="00807E54"/>
    <w:rsid w:val="008111C7"/>
    <w:rsid w:val="00813790"/>
    <w:rsid w:val="00814F5E"/>
    <w:rsid w:val="008153A5"/>
    <w:rsid w:val="008154C9"/>
    <w:rsid w:val="00816DF4"/>
    <w:rsid w:val="00826E66"/>
    <w:rsid w:val="00827297"/>
    <w:rsid w:val="00845449"/>
    <w:rsid w:val="00850397"/>
    <w:rsid w:val="00850AAD"/>
    <w:rsid w:val="0086227F"/>
    <w:rsid w:val="00863992"/>
    <w:rsid w:val="008700CA"/>
    <w:rsid w:val="00873494"/>
    <w:rsid w:val="00875ED5"/>
    <w:rsid w:val="00883117"/>
    <w:rsid w:val="0088706F"/>
    <w:rsid w:val="00891106"/>
    <w:rsid w:val="008A1262"/>
    <w:rsid w:val="008A1D1A"/>
    <w:rsid w:val="008A5370"/>
    <w:rsid w:val="008B0F18"/>
    <w:rsid w:val="008B1EE3"/>
    <w:rsid w:val="008B2D93"/>
    <w:rsid w:val="008B6EB0"/>
    <w:rsid w:val="008B6F89"/>
    <w:rsid w:val="008B749D"/>
    <w:rsid w:val="008C3856"/>
    <w:rsid w:val="008D49DA"/>
    <w:rsid w:val="008D5924"/>
    <w:rsid w:val="008E0166"/>
    <w:rsid w:val="008E2687"/>
    <w:rsid w:val="008E40D8"/>
    <w:rsid w:val="008E4396"/>
    <w:rsid w:val="008F0483"/>
    <w:rsid w:val="008F10B0"/>
    <w:rsid w:val="008F4E38"/>
    <w:rsid w:val="008F687E"/>
    <w:rsid w:val="00902D2F"/>
    <w:rsid w:val="009036E5"/>
    <w:rsid w:val="009101AF"/>
    <w:rsid w:val="0091047F"/>
    <w:rsid w:val="00911ABF"/>
    <w:rsid w:val="009140B6"/>
    <w:rsid w:val="00914DF8"/>
    <w:rsid w:val="0091525D"/>
    <w:rsid w:val="009160AA"/>
    <w:rsid w:val="00917198"/>
    <w:rsid w:val="00923068"/>
    <w:rsid w:val="0092466F"/>
    <w:rsid w:val="009263A9"/>
    <w:rsid w:val="00927355"/>
    <w:rsid w:val="00930111"/>
    <w:rsid w:val="009333C6"/>
    <w:rsid w:val="0094182D"/>
    <w:rsid w:val="00945164"/>
    <w:rsid w:val="009457B1"/>
    <w:rsid w:val="00951874"/>
    <w:rsid w:val="009522ED"/>
    <w:rsid w:val="009525B8"/>
    <w:rsid w:val="00952AE2"/>
    <w:rsid w:val="00953E4D"/>
    <w:rsid w:val="009552B5"/>
    <w:rsid w:val="0095754E"/>
    <w:rsid w:val="00957EEB"/>
    <w:rsid w:val="00960132"/>
    <w:rsid w:val="009613C5"/>
    <w:rsid w:val="0096289A"/>
    <w:rsid w:val="00963779"/>
    <w:rsid w:val="00963E69"/>
    <w:rsid w:val="009655A3"/>
    <w:rsid w:val="009659F9"/>
    <w:rsid w:val="0096655B"/>
    <w:rsid w:val="00966E79"/>
    <w:rsid w:val="00971031"/>
    <w:rsid w:val="009711EF"/>
    <w:rsid w:val="00976904"/>
    <w:rsid w:val="00977395"/>
    <w:rsid w:val="00984D30"/>
    <w:rsid w:val="00993323"/>
    <w:rsid w:val="009939DC"/>
    <w:rsid w:val="009A2E97"/>
    <w:rsid w:val="009A4935"/>
    <w:rsid w:val="009A5C59"/>
    <w:rsid w:val="009A6716"/>
    <w:rsid w:val="009B0ECB"/>
    <w:rsid w:val="009B437F"/>
    <w:rsid w:val="009B650D"/>
    <w:rsid w:val="009B6872"/>
    <w:rsid w:val="009B7B8B"/>
    <w:rsid w:val="009C107C"/>
    <w:rsid w:val="009C4937"/>
    <w:rsid w:val="009D50DF"/>
    <w:rsid w:val="009E4254"/>
    <w:rsid w:val="009E4977"/>
    <w:rsid w:val="009E49BC"/>
    <w:rsid w:val="009E5637"/>
    <w:rsid w:val="009E61BA"/>
    <w:rsid w:val="009F30A3"/>
    <w:rsid w:val="009F39D1"/>
    <w:rsid w:val="009F69F7"/>
    <w:rsid w:val="00A048E2"/>
    <w:rsid w:val="00A07251"/>
    <w:rsid w:val="00A1207D"/>
    <w:rsid w:val="00A14E8C"/>
    <w:rsid w:val="00A15C62"/>
    <w:rsid w:val="00A164EA"/>
    <w:rsid w:val="00A17443"/>
    <w:rsid w:val="00A20EEE"/>
    <w:rsid w:val="00A22629"/>
    <w:rsid w:val="00A3293E"/>
    <w:rsid w:val="00A356DA"/>
    <w:rsid w:val="00A36604"/>
    <w:rsid w:val="00A3779C"/>
    <w:rsid w:val="00A42276"/>
    <w:rsid w:val="00A4411B"/>
    <w:rsid w:val="00A460D0"/>
    <w:rsid w:val="00A46CF9"/>
    <w:rsid w:val="00A50023"/>
    <w:rsid w:val="00A50BB0"/>
    <w:rsid w:val="00A55C2A"/>
    <w:rsid w:val="00A5731D"/>
    <w:rsid w:val="00A70D3F"/>
    <w:rsid w:val="00A747FD"/>
    <w:rsid w:val="00A74A03"/>
    <w:rsid w:val="00A75E71"/>
    <w:rsid w:val="00A76607"/>
    <w:rsid w:val="00A771D4"/>
    <w:rsid w:val="00A82991"/>
    <w:rsid w:val="00A86347"/>
    <w:rsid w:val="00A90AC9"/>
    <w:rsid w:val="00A90EF1"/>
    <w:rsid w:val="00A91BAF"/>
    <w:rsid w:val="00A92AEC"/>
    <w:rsid w:val="00AA039B"/>
    <w:rsid w:val="00AA2E3A"/>
    <w:rsid w:val="00AA46AF"/>
    <w:rsid w:val="00AA4E4B"/>
    <w:rsid w:val="00AA5466"/>
    <w:rsid w:val="00AA5768"/>
    <w:rsid w:val="00AB0345"/>
    <w:rsid w:val="00AB2685"/>
    <w:rsid w:val="00AB2859"/>
    <w:rsid w:val="00AB3B10"/>
    <w:rsid w:val="00AB49DB"/>
    <w:rsid w:val="00AB67E2"/>
    <w:rsid w:val="00AB67ED"/>
    <w:rsid w:val="00AB7CE8"/>
    <w:rsid w:val="00AB7E8F"/>
    <w:rsid w:val="00AC41F4"/>
    <w:rsid w:val="00AC51F4"/>
    <w:rsid w:val="00AD2705"/>
    <w:rsid w:val="00AD3082"/>
    <w:rsid w:val="00AD41D2"/>
    <w:rsid w:val="00AD6159"/>
    <w:rsid w:val="00AE777C"/>
    <w:rsid w:val="00AF06ED"/>
    <w:rsid w:val="00AF1644"/>
    <w:rsid w:val="00AF3418"/>
    <w:rsid w:val="00AF3ACC"/>
    <w:rsid w:val="00AF4BC4"/>
    <w:rsid w:val="00B01447"/>
    <w:rsid w:val="00B01C74"/>
    <w:rsid w:val="00B040F5"/>
    <w:rsid w:val="00B0757E"/>
    <w:rsid w:val="00B07A6D"/>
    <w:rsid w:val="00B10B92"/>
    <w:rsid w:val="00B15D23"/>
    <w:rsid w:val="00B16293"/>
    <w:rsid w:val="00B203FE"/>
    <w:rsid w:val="00B22B61"/>
    <w:rsid w:val="00B2399A"/>
    <w:rsid w:val="00B25C40"/>
    <w:rsid w:val="00B31B5C"/>
    <w:rsid w:val="00B3497C"/>
    <w:rsid w:val="00B34E48"/>
    <w:rsid w:val="00B41122"/>
    <w:rsid w:val="00B43385"/>
    <w:rsid w:val="00B501A1"/>
    <w:rsid w:val="00B50DB2"/>
    <w:rsid w:val="00B523E5"/>
    <w:rsid w:val="00B61F40"/>
    <w:rsid w:val="00B645C8"/>
    <w:rsid w:val="00B65846"/>
    <w:rsid w:val="00B7215C"/>
    <w:rsid w:val="00B72BB4"/>
    <w:rsid w:val="00B765B2"/>
    <w:rsid w:val="00B80371"/>
    <w:rsid w:val="00B81507"/>
    <w:rsid w:val="00B83A85"/>
    <w:rsid w:val="00B84197"/>
    <w:rsid w:val="00B87744"/>
    <w:rsid w:val="00B94E30"/>
    <w:rsid w:val="00B9552C"/>
    <w:rsid w:val="00B97F2E"/>
    <w:rsid w:val="00BA10D6"/>
    <w:rsid w:val="00BA18E1"/>
    <w:rsid w:val="00BA1AA5"/>
    <w:rsid w:val="00BA1F34"/>
    <w:rsid w:val="00BA6444"/>
    <w:rsid w:val="00BB11C1"/>
    <w:rsid w:val="00BB3D43"/>
    <w:rsid w:val="00BB57CE"/>
    <w:rsid w:val="00BB7B97"/>
    <w:rsid w:val="00BC1C7A"/>
    <w:rsid w:val="00BC22B7"/>
    <w:rsid w:val="00BC2EBF"/>
    <w:rsid w:val="00BC3466"/>
    <w:rsid w:val="00BC4346"/>
    <w:rsid w:val="00BC57BD"/>
    <w:rsid w:val="00BC63C5"/>
    <w:rsid w:val="00BC7F5D"/>
    <w:rsid w:val="00BD32CA"/>
    <w:rsid w:val="00BD36EC"/>
    <w:rsid w:val="00BD50AC"/>
    <w:rsid w:val="00BE10EB"/>
    <w:rsid w:val="00BE2B02"/>
    <w:rsid w:val="00BF29EE"/>
    <w:rsid w:val="00BF33BC"/>
    <w:rsid w:val="00BF3A90"/>
    <w:rsid w:val="00BF5BF4"/>
    <w:rsid w:val="00BF6156"/>
    <w:rsid w:val="00BF65AB"/>
    <w:rsid w:val="00C00F58"/>
    <w:rsid w:val="00C03723"/>
    <w:rsid w:val="00C04F4B"/>
    <w:rsid w:val="00C1665B"/>
    <w:rsid w:val="00C167B3"/>
    <w:rsid w:val="00C17071"/>
    <w:rsid w:val="00C215AF"/>
    <w:rsid w:val="00C2290C"/>
    <w:rsid w:val="00C2590A"/>
    <w:rsid w:val="00C26263"/>
    <w:rsid w:val="00C3124E"/>
    <w:rsid w:val="00C33FD4"/>
    <w:rsid w:val="00C344D6"/>
    <w:rsid w:val="00C34F34"/>
    <w:rsid w:val="00C3512E"/>
    <w:rsid w:val="00C35CE8"/>
    <w:rsid w:val="00C36A2C"/>
    <w:rsid w:val="00C41C70"/>
    <w:rsid w:val="00C43946"/>
    <w:rsid w:val="00C46699"/>
    <w:rsid w:val="00C51544"/>
    <w:rsid w:val="00C52001"/>
    <w:rsid w:val="00C52D0B"/>
    <w:rsid w:val="00C540FE"/>
    <w:rsid w:val="00C557CA"/>
    <w:rsid w:val="00C5626A"/>
    <w:rsid w:val="00C57426"/>
    <w:rsid w:val="00C65524"/>
    <w:rsid w:val="00C67285"/>
    <w:rsid w:val="00C71480"/>
    <w:rsid w:val="00C73666"/>
    <w:rsid w:val="00C73FE4"/>
    <w:rsid w:val="00C759B6"/>
    <w:rsid w:val="00C75F50"/>
    <w:rsid w:val="00C76061"/>
    <w:rsid w:val="00C76E7E"/>
    <w:rsid w:val="00C77611"/>
    <w:rsid w:val="00C77E9C"/>
    <w:rsid w:val="00C85575"/>
    <w:rsid w:val="00C86F3B"/>
    <w:rsid w:val="00C960FA"/>
    <w:rsid w:val="00CA08AE"/>
    <w:rsid w:val="00CA427E"/>
    <w:rsid w:val="00CA56D4"/>
    <w:rsid w:val="00CB002B"/>
    <w:rsid w:val="00CB0354"/>
    <w:rsid w:val="00CB3109"/>
    <w:rsid w:val="00CB313A"/>
    <w:rsid w:val="00CB535A"/>
    <w:rsid w:val="00CB5FAD"/>
    <w:rsid w:val="00CB603D"/>
    <w:rsid w:val="00CB66F1"/>
    <w:rsid w:val="00CC0AF7"/>
    <w:rsid w:val="00CC29B9"/>
    <w:rsid w:val="00CC4568"/>
    <w:rsid w:val="00CC52A5"/>
    <w:rsid w:val="00CC64EB"/>
    <w:rsid w:val="00CD174C"/>
    <w:rsid w:val="00CD6679"/>
    <w:rsid w:val="00CE1FFD"/>
    <w:rsid w:val="00CE3910"/>
    <w:rsid w:val="00CE52A8"/>
    <w:rsid w:val="00CF2924"/>
    <w:rsid w:val="00CF4E6D"/>
    <w:rsid w:val="00CF58A0"/>
    <w:rsid w:val="00D0079B"/>
    <w:rsid w:val="00D01E6F"/>
    <w:rsid w:val="00D025FC"/>
    <w:rsid w:val="00D03C21"/>
    <w:rsid w:val="00D12303"/>
    <w:rsid w:val="00D1375C"/>
    <w:rsid w:val="00D15185"/>
    <w:rsid w:val="00D2142D"/>
    <w:rsid w:val="00D228A9"/>
    <w:rsid w:val="00D25A0B"/>
    <w:rsid w:val="00D32470"/>
    <w:rsid w:val="00D32D6D"/>
    <w:rsid w:val="00D372D3"/>
    <w:rsid w:val="00D41475"/>
    <w:rsid w:val="00D429D9"/>
    <w:rsid w:val="00D44EA2"/>
    <w:rsid w:val="00D50503"/>
    <w:rsid w:val="00D52107"/>
    <w:rsid w:val="00D62439"/>
    <w:rsid w:val="00D63A35"/>
    <w:rsid w:val="00D75179"/>
    <w:rsid w:val="00D81345"/>
    <w:rsid w:val="00D853FE"/>
    <w:rsid w:val="00D86204"/>
    <w:rsid w:val="00D8680B"/>
    <w:rsid w:val="00D902AA"/>
    <w:rsid w:val="00D917E8"/>
    <w:rsid w:val="00D92074"/>
    <w:rsid w:val="00D92473"/>
    <w:rsid w:val="00D94561"/>
    <w:rsid w:val="00D950C7"/>
    <w:rsid w:val="00DA0795"/>
    <w:rsid w:val="00DA0815"/>
    <w:rsid w:val="00DA17A4"/>
    <w:rsid w:val="00DA51B8"/>
    <w:rsid w:val="00DA54E4"/>
    <w:rsid w:val="00DA5813"/>
    <w:rsid w:val="00DA7201"/>
    <w:rsid w:val="00DA7576"/>
    <w:rsid w:val="00DA757A"/>
    <w:rsid w:val="00DB0E5C"/>
    <w:rsid w:val="00DB6B70"/>
    <w:rsid w:val="00DB6BE4"/>
    <w:rsid w:val="00DC092C"/>
    <w:rsid w:val="00DC0F4A"/>
    <w:rsid w:val="00DC18FF"/>
    <w:rsid w:val="00DC1F2C"/>
    <w:rsid w:val="00DC4A90"/>
    <w:rsid w:val="00DC554B"/>
    <w:rsid w:val="00DC59C6"/>
    <w:rsid w:val="00DD2B21"/>
    <w:rsid w:val="00DD46C1"/>
    <w:rsid w:val="00DD62B0"/>
    <w:rsid w:val="00DD6350"/>
    <w:rsid w:val="00DE2DA9"/>
    <w:rsid w:val="00DE59E2"/>
    <w:rsid w:val="00DE64BC"/>
    <w:rsid w:val="00DF0A0C"/>
    <w:rsid w:val="00DF11C7"/>
    <w:rsid w:val="00DF170F"/>
    <w:rsid w:val="00DF1F51"/>
    <w:rsid w:val="00DF3B13"/>
    <w:rsid w:val="00DF450C"/>
    <w:rsid w:val="00DF5B68"/>
    <w:rsid w:val="00E01DBC"/>
    <w:rsid w:val="00E02E5B"/>
    <w:rsid w:val="00E057E2"/>
    <w:rsid w:val="00E072F7"/>
    <w:rsid w:val="00E075F9"/>
    <w:rsid w:val="00E24B40"/>
    <w:rsid w:val="00E30A31"/>
    <w:rsid w:val="00E30E1D"/>
    <w:rsid w:val="00E3124D"/>
    <w:rsid w:val="00E31458"/>
    <w:rsid w:val="00E31828"/>
    <w:rsid w:val="00E34620"/>
    <w:rsid w:val="00E3665F"/>
    <w:rsid w:val="00E42350"/>
    <w:rsid w:val="00E42BEB"/>
    <w:rsid w:val="00E436F6"/>
    <w:rsid w:val="00E43A51"/>
    <w:rsid w:val="00E45BDD"/>
    <w:rsid w:val="00E464BD"/>
    <w:rsid w:val="00E50458"/>
    <w:rsid w:val="00E52F7A"/>
    <w:rsid w:val="00E53B17"/>
    <w:rsid w:val="00E6155E"/>
    <w:rsid w:val="00E62663"/>
    <w:rsid w:val="00E6488D"/>
    <w:rsid w:val="00E6495B"/>
    <w:rsid w:val="00E65197"/>
    <w:rsid w:val="00E655C1"/>
    <w:rsid w:val="00E65C9B"/>
    <w:rsid w:val="00E661E5"/>
    <w:rsid w:val="00E669CA"/>
    <w:rsid w:val="00E66B64"/>
    <w:rsid w:val="00E6746D"/>
    <w:rsid w:val="00E732A4"/>
    <w:rsid w:val="00E776C4"/>
    <w:rsid w:val="00E846B4"/>
    <w:rsid w:val="00E85F9B"/>
    <w:rsid w:val="00E87B79"/>
    <w:rsid w:val="00E91666"/>
    <w:rsid w:val="00E95203"/>
    <w:rsid w:val="00EA13D1"/>
    <w:rsid w:val="00EA717A"/>
    <w:rsid w:val="00EB51DD"/>
    <w:rsid w:val="00EC02B3"/>
    <w:rsid w:val="00EC27B3"/>
    <w:rsid w:val="00EC2D0F"/>
    <w:rsid w:val="00EC3DD7"/>
    <w:rsid w:val="00EC48E9"/>
    <w:rsid w:val="00EC4A3B"/>
    <w:rsid w:val="00ED3718"/>
    <w:rsid w:val="00ED4B2C"/>
    <w:rsid w:val="00ED5605"/>
    <w:rsid w:val="00EE01EC"/>
    <w:rsid w:val="00EE0C65"/>
    <w:rsid w:val="00EE4C22"/>
    <w:rsid w:val="00EE652D"/>
    <w:rsid w:val="00EE6FA4"/>
    <w:rsid w:val="00EF4082"/>
    <w:rsid w:val="00F00484"/>
    <w:rsid w:val="00F06863"/>
    <w:rsid w:val="00F12330"/>
    <w:rsid w:val="00F12AEF"/>
    <w:rsid w:val="00F1646A"/>
    <w:rsid w:val="00F17657"/>
    <w:rsid w:val="00F20E9C"/>
    <w:rsid w:val="00F2103D"/>
    <w:rsid w:val="00F21857"/>
    <w:rsid w:val="00F26A13"/>
    <w:rsid w:val="00F271EB"/>
    <w:rsid w:val="00F30280"/>
    <w:rsid w:val="00F31CEA"/>
    <w:rsid w:val="00F3372C"/>
    <w:rsid w:val="00F33B2F"/>
    <w:rsid w:val="00F37FE7"/>
    <w:rsid w:val="00F40E17"/>
    <w:rsid w:val="00F43791"/>
    <w:rsid w:val="00F534B8"/>
    <w:rsid w:val="00F550D5"/>
    <w:rsid w:val="00F55192"/>
    <w:rsid w:val="00F66447"/>
    <w:rsid w:val="00F66888"/>
    <w:rsid w:val="00F739A5"/>
    <w:rsid w:val="00F75E44"/>
    <w:rsid w:val="00F80F1B"/>
    <w:rsid w:val="00F81A33"/>
    <w:rsid w:val="00F85220"/>
    <w:rsid w:val="00F870F2"/>
    <w:rsid w:val="00F8773F"/>
    <w:rsid w:val="00F904BB"/>
    <w:rsid w:val="00F91764"/>
    <w:rsid w:val="00F93AB6"/>
    <w:rsid w:val="00F946AF"/>
    <w:rsid w:val="00F95A7C"/>
    <w:rsid w:val="00F95F08"/>
    <w:rsid w:val="00F960BB"/>
    <w:rsid w:val="00F96D0B"/>
    <w:rsid w:val="00F975C7"/>
    <w:rsid w:val="00FA005A"/>
    <w:rsid w:val="00FA3E00"/>
    <w:rsid w:val="00FA4D78"/>
    <w:rsid w:val="00FB1A78"/>
    <w:rsid w:val="00FB317E"/>
    <w:rsid w:val="00FC0308"/>
    <w:rsid w:val="00FC2B62"/>
    <w:rsid w:val="00FC48B2"/>
    <w:rsid w:val="00FC5ABC"/>
    <w:rsid w:val="00FD22C8"/>
    <w:rsid w:val="00FD3FA6"/>
    <w:rsid w:val="00FD62AF"/>
    <w:rsid w:val="00FD6346"/>
    <w:rsid w:val="00FD6587"/>
    <w:rsid w:val="00FD7E4C"/>
    <w:rsid w:val="00FE37AC"/>
    <w:rsid w:val="00FE5343"/>
    <w:rsid w:val="00FF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290C"/>
    <w:pPr>
      <w:bidi/>
    </w:pPr>
    <w:rPr>
      <w:rFonts w:eastAsia="Times New Roman" w:cs="Traditional Arabic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14B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29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29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C1F2C"/>
    <w:pPr>
      <w:bidi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A2C"/>
    <w:pPr>
      <w:ind w:left="720"/>
    </w:pPr>
  </w:style>
  <w:style w:type="character" w:customStyle="1" w:styleId="Heading3Char">
    <w:name w:val="Heading 3 Char"/>
    <w:basedOn w:val="DefaultParagraphFont"/>
    <w:link w:val="Heading3"/>
    <w:rsid w:val="00514BC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FootnoteText">
    <w:name w:val="footnote text"/>
    <w:basedOn w:val="Normal"/>
    <w:link w:val="FootnoteTextChar"/>
    <w:rsid w:val="0086227F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6227F"/>
    <w:rPr>
      <w:rFonts w:eastAsia="Times New Roman" w:cs="Traditional Arabic"/>
      <w:lang w:eastAsia="ar-SA"/>
    </w:rPr>
  </w:style>
  <w:style w:type="character" w:styleId="FootnoteReference">
    <w:name w:val="footnote reference"/>
    <w:basedOn w:val="DefaultParagraphFont"/>
    <w:rsid w:val="0086227F"/>
    <w:rPr>
      <w:vertAlign w:val="superscript"/>
    </w:rPr>
  </w:style>
  <w:style w:type="character" w:styleId="CommentReference">
    <w:name w:val="annotation reference"/>
    <w:basedOn w:val="DefaultParagraphFont"/>
    <w:rsid w:val="00A70D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0D3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70D3F"/>
    <w:rPr>
      <w:rFonts w:eastAsia="Times New Roman" w:cs="Traditional Arabic"/>
      <w:lang w:eastAsia="ar-SA"/>
    </w:rPr>
  </w:style>
  <w:style w:type="paragraph" w:styleId="BalloonText">
    <w:name w:val="Balloon Text"/>
    <w:basedOn w:val="Normal"/>
    <w:link w:val="BalloonTextChar"/>
    <w:rsid w:val="00A70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D3F"/>
    <w:rPr>
      <w:rFonts w:ascii="Tahoma" w:eastAsia="Times New Roman" w:hAnsi="Tahoma" w:cs="Tahoma"/>
      <w:sz w:val="16"/>
      <w:szCs w:val="16"/>
      <w:lang w:eastAsia="ar-SA"/>
    </w:rPr>
  </w:style>
  <w:style w:type="character" w:styleId="Emphasis">
    <w:name w:val="Emphasis"/>
    <w:basedOn w:val="DefaultParagraphFont"/>
    <w:qFormat/>
    <w:rsid w:val="00A70D3F"/>
    <w:rPr>
      <w:i/>
      <w:iCs/>
    </w:rPr>
  </w:style>
  <w:style w:type="character" w:styleId="Hyperlink">
    <w:name w:val="Hyperlink"/>
    <w:basedOn w:val="DefaultParagraphFont"/>
    <w:rsid w:val="00D025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b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1CD8-873A-4957-BC00-67A8007C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585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NBK</Company>
  <LinksUpToDate>false</LinksUpToDate>
  <CharactersWithSpaces>3637</CharactersWithSpaces>
  <SharedDoc>false</SharedDoc>
  <HLinks>
    <vt:vector size="6" baseType="variant"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http://www.nbk.com/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Ghazzawi</dc:creator>
  <cp:keywords/>
  <dc:description/>
  <cp:lastModifiedBy>Bassel Zinaty</cp:lastModifiedBy>
  <cp:revision>78</cp:revision>
  <cp:lastPrinted>2011-06-09T07:03:00Z</cp:lastPrinted>
  <dcterms:created xsi:type="dcterms:W3CDTF">2011-05-30T07:09:00Z</dcterms:created>
  <dcterms:modified xsi:type="dcterms:W3CDTF">2012-02-20T11:34:00Z</dcterms:modified>
</cp:coreProperties>
</file>